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521"/>
        </w:tabs>
        <w:spacing w:after="120"/>
        <w:jc w:val="left"/>
        <w:rPr>
          <w:rFonts w:ascii="Times New Roman" w:hAnsi="Times New Roman" w:cs="Times New Roman"/>
          <w:b/>
          <w:bCs/>
          <w:kern w:val="0"/>
          <w:sz w:val="24"/>
          <w:szCs w:val="24"/>
          <w:lang w:val="de-DE"/>
        </w:rPr>
      </w:pPr>
      <w:bookmarkStart w:id="0" w:name="OLE_LINK3"/>
      <w:bookmarkStart w:id="1" w:name="OLE_LINK2"/>
      <w:bookmarkStart w:id="2" w:name="OLE_LINK1"/>
      <w:r>
        <w:rPr>
          <w:rFonts w:ascii="Times New Roman" w:hAnsi="Times New Roman" w:eastAsia="MS Mincho" w:cs="Times New Roman"/>
          <w:b/>
          <w:bCs/>
          <w:kern w:val="0"/>
          <w:sz w:val="24"/>
          <w:szCs w:val="24"/>
          <w:lang w:val="de-DE"/>
        </w:rPr>
        <w:t>3GPP TSG RAN WG1</w:t>
      </w:r>
      <w:r>
        <w:rPr>
          <w:rFonts w:ascii="Times New Roman" w:hAnsi="Times New Roman" w:cs="Times New Roman"/>
          <w:b/>
          <w:bCs/>
          <w:kern w:val="0"/>
          <w:sz w:val="24"/>
          <w:szCs w:val="24"/>
          <w:lang w:val="de-DE"/>
        </w:rPr>
        <w:t xml:space="preserve"> Meeting</w:t>
      </w:r>
      <w:r>
        <w:rPr>
          <w:rFonts w:ascii="Times New Roman" w:hAnsi="Times New Roman" w:eastAsia="MS Mincho" w:cs="Times New Roman"/>
          <w:b/>
          <w:bCs/>
          <w:kern w:val="0"/>
          <w:sz w:val="24"/>
          <w:szCs w:val="24"/>
          <w:lang w:val="de-DE"/>
        </w:rPr>
        <w:t xml:space="preserve"> #</w:t>
      </w:r>
      <w:r>
        <w:rPr>
          <w:rFonts w:ascii="Times New Roman" w:hAnsi="Times New Roman" w:cs="Times New Roman"/>
          <w:b/>
          <w:bCs/>
          <w:kern w:val="0"/>
          <w:sz w:val="24"/>
          <w:szCs w:val="24"/>
          <w:lang w:val="de-DE"/>
        </w:rPr>
        <w:t>8</w:t>
      </w:r>
      <w:r>
        <w:rPr>
          <w:rFonts w:hint="eastAsia" w:ascii="Times New Roman" w:hAnsi="Times New Roman" w:cs="Times New Roman"/>
          <w:b/>
          <w:bCs/>
          <w:kern w:val="0"/>
          <w:sz w:val="24"/>
          <w:szCs w:val="24"/>
          <w:lang w:val="de-DE"/>
        </w:rPr>
        <w:t>6</w:t>
      </w:r>
      <w:r>
        <w:rPr>
          <w:rFonts w:hint="eastAsia" w:ascii="Times New Roman" w:hAnsi="Times New Roman" w:cs="Times New Roman"/>
          <w:b/>
          <w:bCs/>
          <w:kern w:val="0"/>
          <w:sz w:val="24"/>
          <w:szCs w:val="24"/>
          <w:lang w:val="en-US" w:eastAsia="zh-CN"/>
        </w:rPr>
        <w:t>b</w:t>
      </w:r>
      <w:r>
        <w:rPr>
          <w:rFonts w:ascii="Times New Roman" w:hAnsi="Times New Roman" w:cs="Times New Roman"/>
          <w:b/>
          <w:bCs/>
          <w:kern w:val="0"/>
          <w:sz w:val="24"/>
          <w:szCs w:val="24"/>
          <w:lang w:val="de-DE"/>
        </w:rPr>
        <w:t xml:space="preserve">                           R1-</w:t>
      </w:r>
      <w:r>
        <w:rPr>
          <w:rFonts w:hint="eastAsia" w:ascii="Times New Roman" w:hAnsi="Times New Roman" w:cs="Times New Roman"/>
          <w:b/>
          <w:bCs/>
          <w:kern w:val="0"/>
          <w:sz w:val="24"/>
          <w:szCs w:val="24"/>
          <w:lang w:val="de-DE"/>
        </w:rPr>
        <w:t>16</w:t>
      </w:r>
      <w:r>
        <w:rPr>
          <w:rFonts w:hint="eastAsia" w:ascii="Times New Roman" w:hAnsi="Times New Roman" w:cs="Times New Roman"/>
          <w:b/>
          <w:bCs/>
          <w:kern w:val="0"/>
          <w:sz w:val="24"/>
          <w:szCs w:val="24"/>
          <w:lang w:val="en-US" w:eastAsia="zh-CN"/>
        </w:rPr>
        <w:t>09690</w:t>
      </w:r>
    </w:p>
    <w:bookmarkEnd w:id="0"/>
    <w:bookmarkEnd w:id="1"/>
    <w:p>
      <w:pPr>
        <w:tabs>
          <w:tab w:val="left" w:pos="6521"/>
        </w:tabs>
        <w:spacing w:after="120"/>
        <w:jc w:val="left"/>
        <w:rPr>
          <w:rFonts w:ascii="Times New Roman" w:hAnsi="Times New Roman" w:cs="Times New Roman"/>
          <w:b/>
          <w:bCs/>
          <w:kern w:val="0"/>
          <w:sz w:val="24"/>
          <w:szCs w:val="24"/>
          <w:lang w:val="de-DE"/>
        </w:rPr>
      </w:pPr>
      <w:r>
        <w:rPr>
          <w:rFonts w:hint="eastAsia" w:ascii="Times New Roman" w:hAnsi="Times New Roman" w:cs="Times New Roman"/>
          <w:b/>
          <w:bCs/>
          <w:kern w:val="0"/>
          <w:sz w:val="24"/>
          <w:szCs w:val="24"/>
          <w:lang w:val="en-US" w:eastAsia="zh-CN"/>
        </w:rPr>
        <w:t>Lisbon</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Portugal</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10</w:t>
      </w:r>
      <w:r>
        <w:rPr>
          <w:rFonts w:hint="eastAsia" w:ascii="Times New Roman" w:hAnsi="Times New Roman" w:cs="Times New Roman"/>
          <w:b/>
          <w:bCs/>
          <w:kern w:val="0"/>
          <w:sz w:val="24"/>
          <w:szCs w:val="24"/>
          <w:vertAlign w:val="superscript"/>
          <w:lang w:val="en-US" w:eastAsia="zh-CN"/>
        </w:rPr>
        <w:t>th</w:t>
      </w:r>
      <w:r>
        <w:rPr>
          <w:rFonts w:hint="eastAsia" w:ascii="Times New Roman" w:hAnsi="Times New Roman" w:cs="Times New Roman"/>
          <w:b/>
          <w:bCs/>
          <w:kern w:val="0"/>
          <w:sz w:val="24"/>
          <w:szCs w:val="24"/>
          <w:lang w:val="en-US" w:eastAsia="zh-CN"/>
        </w:rPr>
        <w:t xml:space="preserve"> </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14</w:t>
      </w:r>
      <w:r>
        <w:rPr>
          <w:rFonts w:ascii="Times New Roman" w:hAnsi="Times New Roman" w:cs="Times New Roman"/>
          <w:b/>
          <w:bCs/>
          <w:kern w:val="0"/>
          <w:sz w:val="24"/>
          <w:szCs w:val="24"/>
          <w:vertAlign w:val="superscript"/>
          <w:lang w:val="de-DE"/>
        </w:rPr>
        <w:t>th</w:t>
      </w:r>
      <w:r>
        <w:rPr>
          <w:rFonts w:ascii="Times New Roman" w:hAnsi="Times New Roman" w:cs="Times New Roman"/>
          <w:b/>
          <w:bCs/>
          <w:kern w:val="0"/>
          <w:sz w:val="24"/>
          <w:szCs w:val="24"/>
          <w:lang w:val="de-DE"/>
        </w:rPr>
        <w:t xml:space="preserve"> </w:t>
      </w:r>
      <w:r>
        <w:rPr>
          <w:rFonts w:hint="eastAsia" w:ascii="Times New Roman" w:hAnsi="Times New Roman" w:cs="Times New Roman"/>
          <w:b/>
          <w:bCs/>
          <w:kern w:val="0"/>
          <w:sz w:val="24"/>
          <w:szCs w:val="24"/>
          <w:lang w:val="en-US" w:eastAsia="zh-CN"/>
        </w:rPr>
        <w:t>October</w:t>
      </w:r>
      <w:r>
        <w:rPr>
          <w:rFonts w:ascii="Times New Roman" w:hAnsi="Times New Roman" w:cs="Times New Roman"/>
          <w:b/>
          <w:bCs/>
          <w:kern w:val="0"/>
          <w:sz w:val="24"/>
          <w:szCs w:val="24"/>
          <w:lang w:val="de-DE"/>
        </w:rPr>
        <w:t xml:space="preserve"> 201</w:t>
      </w:r>
      <w:r>
        <w:rPr>
          <w:rFonts w:hint="eastAsia" w:ascii="Times New Roman" w:hAnsi="Times New Roman" w:cs="Times New Roman"/>
          <w:b/>
          <w:bCs/>
          <w:kern w:val="0"/>
          <w:sz w:val="24"/>
          <w:szCs w:val="24"/>
          <w:lang w:val="de-DE"/>
        </w:rPr>
        <w:t>6</w:t>
      </w:r>
    </w:p>
    <w:p>
      <w:pPr>
        <w:tabs>
          <w:tab w:val="left" w:pos="1985"/>
        </w:tabs>
        <w:spacing w:after="120"/>
        <w:rPr>
          <w:rFonts w:ascii="Times New Roman" w:hAnsi="Times New Roman" w:cs="Times New Roman"/>
          <w:b/>
          <w:sz w:val="24"/>
          <w:szCs w:val="24"/>
        </w:rPr>
      </w:pPr>
    </w:p>
    <w:p>
      <w:pPr>
        <w:tabs>
          <w:tab w:val="left" w:pos="1985"/>
        </w:tabs>
        <w:spacing w:after="120"/>
        <w:rPr>
          <w:rFonts w:ascii="Times New Roman" w:hAnsi="Times New Roman" w:eastAsia="Malgun Gothic" w:cs="Times New Roman"/>
          <w:b/>
          <w:sz w:val="24"/>
          <w:szCs w:val="24"/>
          <w:lang w:eastAsia="ko-KR"/>
        </w:rPr>
      </w:pPr>
      <w:r>
        <w:rPr>
          <w:rFonts w:ascii="Times New Roman" w:hAnsi="Times New Roman" w:cs="Times New Roman"/>
          <w:b/>
          <w:sz w:val="24"/>
          <w:szCs w:val="24"/>
        </w:rPr>
        <w:t>Agenda item:</w:t>
      </w:r>
      <w:r>
        <w:rPr>
          <w:rFonts w:ascii="Times New Roman" w:hAnsi="Times New Roman" w:cs="Times New Roman"/>
          <w:sz w:val="24"/>
          <w:szCs w:val="24"/>
        </w:rPr>
        <w:tab/>
      </w:r>
      <w:bookmarkStart w:id="3" w:name="Source"/>
      <w:bookmarkEnd w:id="3"/>
      <w:r>
        <w:rPr>
          <w:rFonts w:ascii="Times New Roman" w:hAnsi="Times New Roman" w:cs="Times New Roman"/>
          <w:b/>
          <w:sz w:val="24"/>
        </w:rPr>
        <w:tab/>
      </w:r>
      <w:r>
        <w:rPr>
          <w:rFonts w:hint="eastAsia" w:ascii="Times New Roman" w:hAnsi="Times New Roman" w:cs="Times New Roman"/>
          <w:b/>
          <w:sz w:val="24"/>
          <w:lang w:val="en-US" w:eastAsia="zh-CN"/>
        </w:rPr>
        <w:t>8.1.4</w:t>
      </w:r>
    </w:p>
    <w:p>
      <w:pPr>
        <w:tabs>
          <w:tab w:val="left" w:pos="900"/>
        </w:tabs>
        <w:spacing w:after="120"/>
        <w:rPr>
          <w:rFonts w:ascii="Times New Roman" w:hAnsi="Times New Roman" w:cs="Times New Roman"/>
          <w:b/>
          <w:sz w:val="24"/>
        </w:rPr>
      </w:pPr>
      <w:r>
        <w:rPr>
          <w:rFonts w:ascii="Times New Roman" w:hAnsi="Times New Roman" w:cs="Times New Roman"/>
          <w:b/>
          <w:sz w:val="24"/>
        </w:rPr>
        <w:t xml:space="preserve">Source: </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hint="eastAsia" w:ascii="Times New Roman" w:hAnsi="Times New Roman" w:cs="Times New Roman"/>
          <w:b/>
          <w:sz w:val="24"/>
        </w:rPr>
        <w:t>Xinwei</w:t>
      </w:r>
    </w:p>
    <w:bookmarkEnd w:id="2"/>
    <w:p>
      <w:pPr>
        <w:spacing w:after="120"/>
        <w:ind w:left="2160" w:hanging="2160"/>
        <w:rPr>
          <w:rFonts w:ascii="Times New Roman" w:hAnsi="Times New Roman" w:cs="Times New Roman"/>
          <w:b/>
          <w:sz w:val="24"/>
          <w:szCs w:val="24"/>
        </w:rPr>
      </w:pPr>
      <w:r>
        <w:rPr>
          <w:rFonts w:ascii="Times New Roman" w:hAnsi="Times New Roman" w:cs="Times New Roman"/>
          <w:b/>
          <w:sz w:val="24"/>
          <w:szCs w:val="24"/>
        </w:rPr>
        <w:t xml:space="preserve">Title:             </w:t>
      </w:r>
      <w:r>
        <w:rPr>
          <w:rFonts w:hint="eastAsia" w:ascii="Times New Roman" w:hAnsi="Times New Roman" w:cs="Times New Roman"/>
          <w:b/>
          <w:sz w:val="24"/>
          <w:szCs w:val="24"/>
          <w:lang w:val="en-US" w:eastAsia="zh-CN"/>
        </w:rPr>
        <w:t>Views on Framework of NR MIMO and Beam Management</w:t>
      </w:r>
    </w:p>
    <w:p>
      <w:pPr>
        <w:pBdr>
          <w:bottom w:val="single" w:color="auto" w:sz="12" w:space="1"/>
        </w:pBdr>
        <w:tabs>
          <w:tab w:val="left" w:pos="1985"/>
        </w:tabs>
        <w:rPr>
          <w:rFonts w:ascii="Times New Roman" w:hAnsi="Times New Roman" w:cs="Times New Roman"/>
          <w:b/>
          <w:sz w:val="24"/>
        </w:rPr>
      </w:pPr>
      <w:r>
        <w:rPr>
          <w:rFonts w:ascii="Times New Roman" w:hAnsi="Times New Roman" w:cs="Times New Roman"/>
          <w:b/>
          <w:sz w:val="24"/>
        </w:rPr>
        <w:t>Document for:</w:t>
      </w:r>
      <w:r>
        <w:rPr>
          <w:rFonts w:ascii="Times New Roman" w:hAnsi="Times New Roman" w:cs="Times New Roman"/>
          <w:b/>
          <w:sz w:val="24"/>
        </w:rPr>
        <w:tab/>
      </w:r>
      <w:r>
        <w:rPr>
          <w:rFonts w:ascii="Times New Roman" w:hAnsi="Times New Roman" w:cs="Times New Roman"/>
          <w:b/>
          <w:sz w:val="24"/>
        </w:rPr>
        <w:tab/>
      </w:r>
      <w:r>
        <w:rPr>
          <w:rFonts w:ascii="Times New Roman" w:hAnsi="Times New Roman" w:eastAsia="Batang" w:cs="Times New Roman"/>
          <w:b/>
          <w:sz w:val="24"/>
          <w:lang w:eastAsia="ko-KR"/>
        </w:rPr>
        <w:t>Discussion</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ascii="Times New Roman" w:hAnsi="Times New Roman" w:eastAsia="MS Gothic" w:cs="Times New Roman"/>
          <w:kern w:val="28"/>
          <w:sz w:val="28"/>
          <w:szCs w:val="24"/>
          <w:lang w:eastAsia="ja-JP"/>
        </w:rPr>
        <w:t>Introduction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GB"/>
        </w:rPr>
        <w:t>In RAN1 #8</w:t>
      </w:r>
      <w:r>
        <w:rPr>
          <w:rFonts w:hint="eastAsia" w:ascii="Times New Roman" w:hAnsi="Times New Roman" w:cs="Times New Roman"/>
          <w:kern w:val="0"/>
          <w:sz w:val="22"/>
          <w:lang w:val="en-US" w:eastAsia="zh-CN"/>
        </w:rPr>
        <w:t>6</w:t>
      </w:r>
      <w:r>
        <w:rPr>
          <w:rFonts w:hint="eastAsia" w:ascii="Times New Roman" w:hAnsi="Times New Roman" w:cs="Times New Roman"/>
          <w:kern w:val="0"/>
          <w:sz w:val="22"/>
          <w:lang w:val="en-GB"/>
        </w:rPr>
        <w:t xml:space="preserve"> meeting,</w:t>
      </w:r>
      <w:r>
        <w:rPr>
          <w:rFonts w:hint="eastAsia" w:ascii="Times New Roman" w:hAnsi="Times New Roman" w:cs="Times New Roman"/>
          <w:kern w:val="0"/>
          <w:sz w:val="22"/>
          <w:lang w:val="en-US" w:eastAsia="zh-CN"/>
        </w:rPr>
        <w:t xml:space="preserve"> multiple agreements are achieved for NR MIMO and beam management. Based on these agreements we discuss in this contribution aspects related to the framework of MIMO and beam management for NR.  </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lang w:val="en-US" w:eastAsia="zh-CN"/>
        </w:rPr>
        <w:t>Scenarios</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The target application scenario of new radio varies vastly in the typical number of deployed antenna elements. The following table shows possible configurations of current evaluation assumption. It has been proposed by multiple companies to have a unified framework for different antennas and across frequency bands. Such design would be forward compatible to the largest extent and reduce specification complexity.</w:t>
      </w:r>
    </w:p>
    <w:p>
      <w:pPr>
        <w:widowControl/>
        <w:spacing w:after="120"/>
        <w:rPr>
          <w:rFonts w:hint="eastAsia" w:ascii="Times New Roman" w:hAnsi="Times New Roman" w:cs="Times New Roman"/>
          <w:kern w:val="0"/>
          <w:sz w:val="22"/>
          <w:lang w:val="en-US" w:eastAsia="zh-CN"/>
        </w:rPr>
      </w:pPr>
    </w:p>
    <w:tbl>
      <w:tblPr>
        <w:tblW w:w="84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1122"/>
        <w:gridCol w:w="2682"/>
        <w:gridCol w:w="46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15" w:hRule="atLeast"/>
        </w:trPr>
        <w:tc>
          <w:tcPr>
            <w:tcW w:w="1122" w:type="dxa"/>
            <w:tcBorders>
              <w:top w:val="single" w:color="000000" w:sz="12" w:space="0"/>
              <w:left w:val="single" w:color="000000" w:sz="12" w:space="0"/>
              <w:bottom w:val="single" w:color="000000" w:sz="12" w:space="0"/>
              <w:right w:val="single" w:color="000000" w:sz="12" w:space="0"/>
            </w:tcBorders>
            <w:shd w:val="clear" w:color="auto" w:fill="CCECFF"/>
            <w:vAlign w:val="top"/>
          </w:tcPr>
          <w:p>
            <w:pPr>
              <w:keepNext w:val="0"/>
              <w:keepLines w:val="0"/>
              <w:pageBreakBefore w:val="0"/>
              <w:widowControl/>
              <w:kinsoku/>
              <w:wordWrap/>
              <w:overflowPunct/>
              <w:topLinePunct w:val="0"/>
              <w:autoSpaceDE/>
              <w:autoSpaceDN/>
              <w:bidi w:val="0"/>
              <w:adjustRightInd/>
              <w:snapToGrid/>
              <w:spacing w:before="0" w:beforeLines="0" w:after="0" w:afterLines="0" w:line="260" w:lineRule="exact"/>
              <w:ind w:left="0" w:leftChars="0" w:right="0" w:rightChars="0" w:firstLine="0" w:firstLineChars="0"/>
              <w:jc w:val="left"/>
              <w:outlineLvl w:val="9"/>
              <w:rPr>
                <w:rFonts w:hint="eastAsia" w:ascii="Arial Unicode MS" w:hAnsi="Arial Unicode MS" w:eastAsia="Arial Unicode MS" w:cs="Arial Unicode MS"/>
                <w:b/>
                <w:i w:val="0"/>
                <w:color w:val="auto"/>
                <w:sz w:val="18"/>
                <w:szCs w:val="18"/>
                <w:u w:val="none"/>
              </w:rPr>
            </w:pPr>
          </w:p>
        </w:tc>
        <w:tc>
          <w:tcPr>
            <w:tcW w:w="2682" w:type="dxa"/>
            <w:tcBorders>
              <w:top w:val="single" w:color="000000" w:sz="12" w:space="0"/>
              <w:left w:val="single" w:color="000000" w:sz="12" w:space="0"/>
              <w:bottom w:val="single" w:color="000000" w:sz="12" w:space="0"/>
              <w:right w:val="single" w:color="000000" w:sz="4" w:space="0"/>
            </w:tcBorders>
            <w:shd w:val="clear" w:color="auto" w:fill="CCECFF"/>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b/>
                <w:i w:val="0"/>
                <w:color w:val="auto"/>
                <w:sz w:val="18"/>
                <w:szCs w:val="18"/>
                <w:u w:val="none"/>
              </w:rPr>
            </w:pPr>
            <w:r>
              <w:rPr>
                <w:rFonts w:hint="eastAsia" w:ascii="Arial Unicode MS" w:hAnsi="Arial Unicode MS" w:eastAsia="Arial Unicode MS" w:cs="Arial Unicode MS"/>
                <w:b/>
                <w:i w:val="0"/>
                <w:color w:val="auto"/>
                <w:kern w:val="0"/>
                <w:sz w:val="18"/>
                <w:szCs w:val="18"/>
                <w:u w:val="none"/>
                <w:lang w:val="en-US" w:eastAsia="zh-CN" w:bidi="ar"/>
              </w:rPr>
              <w:t>Below 6GHz (700MHz, 4GHz)</w:t>
            </w:r>
          </w:p>
        </w:tc>
        <w:tc>
          <w:tcPr>
            <w:tcW w:w="4687" w:type="dxa"/>
            <w:tcBorders>
              <w:top w:val="single" w:color="000000" w:sz="12" w:space="0"/>
              <w:left w:val="single" w:color="000000" w:sz="4" w:space="0"/>
              <w:bottom w:val="single" w:color="000000" w:sz="12" w:space="0"/>
              <w:right w:val="single" w:color="000000" w:sz="4" w:space="0"/>
            </w:tcBorders>
            <w:shd w:val="clear" w:color="auto" w:fill="CCECFF"/>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b/>
                <w:i w:val="0"/>
                <w:color w:val="auto"/>
                <w:sz w:val="18"/>
                <w:szCs w:val="18"/>
                <w:u w:val="none"/>
              </w:rPr>
            </w:pPr>
            <w:r>
              <w:rPr>
                <w:rFonts w:hint="eastAsia" w:ascii="Arial Unicode MS" w:hAnsi="Arial Unicode MS" w:eastAsia="Arial Unicode MS" w:cs="Arial Unicode MS"/>
                <w:b/>
                <w:i w:val="0"/>
                <w:color w:val="auto"/>
                <w:kern w:val="0"/>
                <w:sz w:val="18"/>
                <w:szCs w:val="18"/>
                <w:u w:val="none"/>
                <w:lang w:val="en-US" w:eastAsia="zh-CN" w:bidi="ar"/>
              </w:rPr>
              <w:t>Above 6GHz (30GHz, 70GHz)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3854" w:hRule="atLeast"/>
        </w:trPr>
        <w:tc>
          <w:tcPr>
            <w:tcW w:w="1122" w:type="dxa"/>
            <w:tcBorders>
              <w:left w:val="single" w:color="000000" w:sz="12" w:space="0"/>
              <w:bottom w:val="single" w:color="000000" w:sz="4" w:space="0"/>
              <w:right w:val="single" w:color="000000" w:sz="12" w:space="0"/>
            </w:tcBorders>
            <w:shd w:val="clear" w:color="auto" w:fill="CCECFF"/>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b/>
                <w:i w:val="0"/>
                <w:color w:val="auto"/>
                <w:sz w:val="18"/>
                <w:szCs w:val="18"/>
                <w:u w:val="none"/>
              </w:rPr>
            </w:pPr>
            <w:r>
              <w:rPr>
                <w:rFonts w:hint="eastAsia" w:ascii="Arial Unicode MS" w:hAnsi="Arial Unicode MS" w:eastAsia="Arial Unicode MS" w:cs="Arial Unicode MS"/>
                <w:b/>
                <w:i w:val="0"/>
                <w:color w:val="auto"/>
                <w:kern w:val="0"/>
                <w:sz w:val="18"/>
                <w:szCs w:val="18"/>
                <w:u w:val="none"/>
                <w:lang w:val="en-US" w:eastAsia="zh-CN" w:bidi="ar"/>
              </w:rPr>
              <w:t>TXRU mapping</w:t>
            </w:r>
          </w:p>
        </w:tc>
        <w:tc>
          <w:tcPr>
            <w:tcW w:w="2682" w:type="dxa"/>
            <w:tcBorders>
              <w:top w:val="single" w:color="000000" w:sz="4" w:space="0"/>
              <w:left w:val="single" w:color="000000" w:sz="12" w:space="0"/>
              <w:bottom w:val="single" w:color="000000" w:sz="4" w:space="0"/>
              <w:right w:val="single" w:color="000000" w:sz="4" w:space="0"/>
            </w:tcBorders>
            <w:shd w:val="clear"/>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i w:val="0"/>
                <w:color w:val="auto"/>
                <w:sz w:val="18"/>
                <w:szCs w:val="18"/>
                <w:u w:val="none"/>
              </w:rPr>
            </w:pPr>
            <w:r>
              <w:rPr>
                <w:rFonts w:hint="eastAsia" w:ascii="Arial Unicode MS" w:hAnsi="Arial Unicode MS" w:eastAsia="Arial Unicode MS" w:cs="Arial Unicode MS"/>
                <w:i w:val="0"/>
                <w:color w:val="auto"/>
                <w:kern w:val="0"/>
                <w:sz w:val="18"/>
                <w:szCs w:val="18"/>
                <w:u w:val="none"/>
                <w:lang w:val="en-US" w:eastAsia="zh-CN" w:bidi="ar"/>
              </w:rPr>
              <w:t>Per panel, reuse models in TR 36.897. Other mappings are FFS</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Consider the following a TXRU to antenna elements mapping as examples</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4GHz: the same as TR36.897</w:t>
            </w:r>
          </w:p>
        </w:tc>
        <w:tc>
          <w:tcPr>
            <w:tcW w:w="4687"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i w:val="0"/>
                <w:color w:val="auto"/>
                <w:sz w:val="18"/>
                <w:szCs w:val="18"/>
                <w:u w:val="none"/>
              </w:rPr>
            </w:pPr>
            <w:r>
              <w:rPr>
                <w:rFonts w:hint="eastAsia" w:ascii="Arial Unicode MS" w:hAnsi="Arial Unicode MS" w:eastAsia="Arial Unicode MS" w:cs="Arial Unicode MS"/>
                <w:i w:val="0"/>
                <w:color w:val="auto"/>
                <w:kern w:val="0"/>
                <w:sz w:val="18"/>
                <w:szCs w:val="18"/>
                <w:u w:val="none"/>
                <w:lang w:val="en-US" w:eastAsia="zh-CN" w:bidi="ar"/>
              </w:rPr>
              <w:t>Consider the following a TXRU to antenna elements mapping as examples</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single"/>
                <w:lang w:val="en-US" w:eastAsia="zh-CN" w:bidi="ar"/>
              </w:rPr>
              <w:t>30GHz and 70GHz:</w:t>
            </w:r>
            <w:r>
              <w:rPr>
                <w:rFonts w:hint="eastAsia" w:ascii="Arial Unicode MS" w:hAnsi="Arial Unicode MS" w:eastAsia="Arial Unicode MS" w:cs="Arial Unicode MS"/>
                <w:i w:val="0"/>
                <w:color w:val="auto"/>
                <w:kern w:val="0"/>
                <w:sz w:val="18"/>
                <w:szCs w:val="18"/>
                <w:u w:val="none"/>
                <w:lang w:val="en-US" w:eastAsia="zh-CN" w:bidi="ar"/>
              </w:rPr>
              <w:t xml:space="preserve"> </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Option 1: a single TXRU is mapped per panel per polarization.</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 xml:space="preserve">Option 2: a single TXRU is mapped per panel per subarray per polarization, </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 E.g., where a subarray consists of consecutive M/2 vertical antennas and N/2 horizontal antennas with the same polarization.</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 xml:space="preserve">- Other subarray configurations are not precluded. </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Option 3: Fully connected TXRU mapping within a panel per polarization.</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 xml:space="preserve">- Other Fully connected TXRU mapping is not precluded.  </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br w:type="textWrapp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90" w:hRule="atLeast"/>
        </w:trPr>
        <w:tc>
          <w:tcPr>
            <w:tcW w:w="1122" w:type="dxa"/>
            <w:tcBorders>
              <w:top w:val="single" w:color="000000" w:sz="4" w:space="0"/>
              <w:left w:val="single" w:color="000000" w:sz="12" w:space="0"/>
              <w:bottom w:val="single" w:color="000000" w:sz="4" w:space="0"/>
              <w:right w:val="single" w:color="000000" w:sz="12" w:space="0"/>
            </w:tcBorders>
            <w:shd w:val="clear" w:color="auto" w:fill="CCECFF"/>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b/>
                <w:i w:val="0"/>
                <w:color w:val="auto"/>
                <w:sz w:val="18"/>
                <w:szCs w:val="18"/>
                <w:u w:val="none"/>
              </w:rPr>
            </w:pPr>
            <w:r>
              <w:rPr>
                <w:rFonts w:hint="eastAsia" w:ascii="Arial Unicode MS" w:hAnsi="Arial Unicode MS" w:eastAsia="Arial Unicode MS" w:cs="Arial Unicode MS"/>
                <w:b/>
                <w:i w:val="0"/>
                <w:color w:val="auto"/>
                <w:kern w:val="0"/>
                <w:sz w:val="18"/>
                <w:szCs w:val="18"/>
                <w:u w:val="none"/>
                <w:lang w:val="en-US" w:eastAsia="zh-CN" w:bidi="ar"/>
              </w:rPr>
              <w:t>Number of BS antenna elements across all panels</w:t>
            </w:r>
          </w:p>
        </w:tc>
        <w:tc>
          <w:tcPr>
            <w:tcW w:w="2682" w:type="dxa"/>
            <w:tcBorders>
              <w:top w:val="single" w:color="000000" w:sz="4" w:space="0"/>
              <w:left w:val="single" w:color="000000" w:sz="12" w:space="0"/>
              <w:bottom w:val="single" w:color="000000" w:sz="4" w:space="0"/>
              <w:right w:val="single" w:color="000000" w:sz="4" w:space="0"/>
            </w:tcBorders>
            <w:shd w:val="clear"/>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i w:val="0"/>
                <w:color w:val="auto"/>
                <w:sz w:val="18"/>
                <w:szCs w:val="18"/>
                <w:u w:val="none"/>
              </w:rPr>
            </w:pPr>
            <w:r>
              <w:rPr>
                <w:rFonts w:hint="eastAsia" w:ascii="Arial Unicode MS" w:hAnsi="Arial Unicode MS" w:eastAsia="Arial Unicode MS" w:cs="Arial Unicode MS"/>
                <w:i w:val="0"/>
                <w:color w:val="auto"/>
                <w:kern w:val="0"/>
                <w:sz w:val="18"/>
                <w:szCs w:val="18"/>
                <w:u w:val="none"/>
                <w:lang w:val="en-US" w:eastAsia="zh-CN" w:bidi="ar"/>
              </w:rPr>
              <w:t xml:space="preserve">700MHz: Up to 64 Tx /Rx antenna elements </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 xml:space="preserve">4GHz: Up to 256 Tx /Rx antenna elements </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Note: Same as TR38.913</w:t>
            </w:r>
          </w:p>
        </w:tc>
        <w:tc>
          <w:tcPr>
            <w:tcW w:w="4687"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i w:val="0"/>
                <w:color w:val="auto"/>
                <w:sz w:val="18"/>
                <w:szCs w:val="18"/>
                <w:u w:val="none"/>
              </w:rPr>
            </w:pPr>
            <w:r>
              <w:rPr>
                <w:rFonts w:hint="eastAsia" w:ascii="Arial Unicode MS" w:hAnsi="Arial Unicode MS" w:eastAsia="Arial Unicode MS" w:cs="Arial Unicode MS"/>
                <w:i w:val="0"/>
                <w:color w:val="auto"/>
                <w:kern w:val="0"/>
                <w:sz w:val="18"/>
                <w:szCs w:val="18"/>
                <w:u w:val="none"/>
                <w:lang w:val="en-US" w:eastAsia="zh-CN" w:bidi="ar"/>
              </w:rPr>
              <w:t xml:space="preserve">30GHz: Up to 256 Tx /Rx antenna elements </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Note: Same as TR38.913</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70GHz: Up to 1024 Tx /Rx antenna elements (TP)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trHeight w:val="2100" w:hRule="atLeast"/>
        </w:trPr>
        <w:tc>
          <w:tcPr>
            <w:tcW w:w="1122" w:type="dxa"/>
            <w:tcBorders>
              <w:left w:val="single" w:color="000000" w:sz="12" w:space="0"/>
              <w:bottom w:val="single" w:color="000000" w:sz="4" w:space="0"/>
              <w:right w:val="single" w:color="000000" w:sz="12" w:space="0"/>
            </w:tcBorders>
            <w:shd w:val="clear" w:color="auto" w:fill="CCECFF"/>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b/>
                <w:i w:val="0"/>
                <w:color w:val="auto"/>
                <w:sz w:val="18"/>
                <w:szCs w:val="18"/>
                <w:u w:val="none"/>
              </w:rPr>
            </w:pPr>
            <w:r>
              <w:rPr>
                <w:rFonts w:hint="eastAsia" w:ascii="Arial Unicode MS" w:hAnsi="Arial Unicode MS" w:eastAsia="Arial Unicode MS" w:cs="Arial Unicode MS"/>
                <w:b/>
                <w:i w:val="0"/>
                <w:color w:val="auto"/>
                <w:kern w:val="0"/>
                <w:sz w:val="18"/>
                <w:szCs w:val="18"/>
                <w:u w:val="none"/>
                <w:lang w:val="en-US" w:eastAsia="zh-CN" w:bidi="ar"/>
              </w:rPr>
              <w:t>Number of UE antenna elements</w:t>
            </w:r>
          </w:p>
        </w:tc>
        <w:tc>
          <w:tcPr>
            <w:tcW w:w="2682" w:type="dxa"/>
            <w:tcBorders>
              <w:top w:val="single" w:color="000000" w:sz="4" w:space="0"/>
              <w:left w:val="single" w:color="000000" w:sz="12" w:space="0"/>
              <w:bottom w:val="single" w:color="000000" w:sz="4" w:space="0"/>
              <w:right w:val="single" w:color="000000" w:sz="4" w:space="0"/>
            </w:tcBorders>
            <w:shd w:val="clear"/>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i w:val="0"/>
                <w:color w:val="auto"/>
                <w:sz w:val="18"/>
                <w:szCs w:val="18"/>
                <w:u w:val="none"/>
              </w:rPr>
            </w:pPr>
            <w:r>
              <w:rPr>
                <w:rFonts w:hint="eastAsia" w:ascii="Arial Unicode MS" w:hAnsi="Arial Unicode MS" w:eastAsia="Arial Unicode MS" w:cs="Arial Unicode MS"/>
                <w:i w:val="0"/>
                <w:color w:val="auto"/>
                <w:kern w:val="0"/>
                <w:sz w:val="18"/>
                <w:szCs w:val="18"/>
                <w:u w:val="none"/>
                <w:lang w:val="en-US" w:eastAsia="zh-CN" w:bidi="ar"/>
              </w:rPr>
              <w:t xml:space="preserve">700MHz: Up to 4 Tx /Rx antenna elements </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 xml:space="preserve">4GHz: Up to 8 Tx /Rx antenna elements </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Note: Same as TR38.913</w:t>
            </w:r>
          </w:p>
        </w:tc>
        <w:tc>
          <w:tcPr>
            <w:tcW w:w="4687" w:type="dxa"/>
            <w:tcBorders>
              <w:top w:val="single" w:color="000000" w:sz="4" w:space="0"/>
              <w:left w:val="single" w:color="000000" w:sz="4" w:space="0"/>
              <w:bottom w:val="single" w:color="000000" w:sz="4" w:space="0"/>
              <w:right w:val="single" w:color="000000" w:sz="4" w:space="0"/>
            </w:tcBorders>
            <w:shd w:val="clear"/>
            <w:vAlign w:val="top"/>
          </w:tcPr>
          <w:p>
            <w:pPr>
              <w:keepNext w:val="0"/>
              <w:keepLines w:val="0"/>
              <w:pageBreakBefore w:val="0"/>
              <w:widowControl/>
              <w:suppressLineNumbers w:val="0"/>
              <w:kinsoku/>
              <w:wordWrap/>
              <w:overflowPunct/>
              <w:topLinePunct w:val="0"/>
              <w:autoSpaceDE/>
              <w:autoSpaceDN/>
              <w:bidi w:val="0"/>
              <w:adjustRightInd/>
              <w:snapToGrid/>
              <w:spacing w:line="260" w:lineRule="exact"/>
              <w:ind w:left="0" w:leftChars="0" w:right="0" w:rightChars="0" w:firstLine="0" w:firstLineChars="0"/>
              <w:jc w:val="left"/>
              <w:textAlignment w:val="top"/>
              <w:outlineLvl w:val="9"/>
              <w:rPr>
                <w:rFonts w:hint="eastAsia" w:ascii="Arial Unicode MS" w:hAnsi="Arial Unicode MS" w:eastAsia="Arial Unicode MS" w:cs="Arial Unicode MS"/>
                <w:i w:val="0"/>
                <w:color w:val="auto"/>
                <w:sz w:val="18"/>
                <w:szCs w:val="18"/>
                <w:u w:val="none"/>
              </w:rPr>
            </w:pPr>
            <w:r>
              <w:rPr>
                <w:rFonts w:hint="eastAsia" w:ascii="Arial Unicode MS" w:hAnsi="Arial Unicode MS" w:eastAsia="Arial Unicode MS" w:cs="Arial Unicode MS"/>
                <w:i w:val="0"/>
                <w:color w:val="auto"/>
                <w:kern w:val="0"/>
                <w:sz w:val="18"/>
                <w:szCs w:val="18"/>
                <w:u w:val="none"/>
                <w:lang w:val="en-US" w:eastAsia="zh-CN" w:bidi="ar"/>
              </w:rPr>
              <w:t xml:space="preserve">30GHz: Up to 32 Tx /Rx antenna elements </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70GHz: Up to 32 Tx /Rx antenna elements</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Note: Same as TR38.913</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For UE at 70GHz, companies are also allowed to investigate the case with 64 total number of antenna elements</w:t>
            </w:r>
            <w:r>
              <w:rPr>
                <w:rFonts w:hint="eastAsia" w:ascii="Arial Unicode MS" w:hAnsi="Arial Unicode MS" w:eastAsia="Arial Unicode MS" w:cs="Arial Unicode MS"/>
                <w:i w:val="0"/>
                <w:color w:val="auto"/>
                <w:kern w:val="0"/>
                <w:sz w:val="18"/>
                <w:szCs w:val="18"/>
                <w:u w:val="none"/>
                <w:lang w:val="en-US" w:eastAsia="zh-CN" w:bidi="ar"/>
              </w:rPr>
              <w:br w:type="textWrapping"/>
            </w:r>
            <w:r>
              <w:rPr>
                <w:rFonts w:hint="eastAsia" w:ascii="Arial Unicode MS" w:hAnsi="Arial Unicode MS" w:eastAsia="Arial Unicode MS" w:cs="Arial Unicode MS"/>
                <w:i w:val="0"/>
                <w:color w:val="auto"/>
                <w:kern w:val="0"/>
                <w:sz w:val="18"/>
                <w:szCs w:val="18"/>
                <w:u w:val="none"/>
                <w:lang w:val="en-US" w:eastAsia="zh-CN" w:bidi="ar"/>
              </w:rPr>
              <w:t>– The number of TXRUs remains the same as 30GHz</w:t>
            </w:r>
          </w:p>
        </w:tc>
      </w:tr>
    </w:tbl>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 </w:t>
      </w:r>
    </w:p>
    <w:p>
      <w:pPr>
        <w:widowControl/>
        <w:spacing w:after="120"/>
        <w:rPr>
          <w:rFonts w:hint="eastAsia" w:ascii="Times New Roman" w:hAnsi="Times New Roman" w:cs="Times New Roman"/>
          <w:b/>
          <w:bCs w:val="0"/>
          <w:i/>
          <w:iCs w:val="0"/>
          <w:kern w:val="0"/>
          <w:sz w:val="22"/>
          <w:lang w:val="en-US" w:eastAsia="zh-CN"/>
        </w:rPr>
      </w:pPr>
      <w:r>
        <w:rPr>
          <w:rFonts w:hint="eastAsia" w:ascii="Times New Roman" w:hAnsi="Times New Roman" w:cs="Times New Roman"/>
          <w:b/>
          <w:bCs w:val="0"/>
          <w:i/>
          <w:iCs w:val="0"/>
          <w:kern w:val="0"/>
          <w:sz w:val="22"/>
          <w:lang w:val="en-US" w:eastAsia="zh-CN"/>
        </w:rPr>
        <w:t xml:space="preserve">Proprosal 1: It is highly preferable to have a common framework for different number of antenna elements and across different frequency bands. </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lang w:val="en-US" w:eastAsia="zh-CN"/>
        </w:rPr>
        <w:t xml:space="preserve">Framework with and without </w:t>
      </w:r>
      <w:r>
        <w:rPr>
          <w:rFonts w:hint="eastAsia" w:ascii="Times New Roman" w:hAnsi="Times New Roman" w:cs="Times New Roman"/>
          <w:i/>
          <w:iCs/>
          <w:kern w:val="28"/>
          <w:sz w:val="28"/>
          <w:szCs w:val="24"/>
          <w:lang w:val="en-US" w:eastAsia="zh-CN"/>
        </w:rPr>
        <w:t>a priori</w:t>
      </w:r>
      <w:r>
        <w:rPr>
          <w:rFonts w:hint="eastAsia" w:ascii="Times New Roman" w:hAnsi="Times New Roman" w:cs="Times New Roman"/>
          <w:kern w:val="28"/>
          <w:sz w:val="28"/>
          <w:szCs w:val="24"/>
          <w:lang w:val="en-US" w:eastAsia="zh-CN"/>
        </w:rPr>
        <w:t xml:space="preserve"> Information</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With respect to whether there is a priori information about multi-antenna configurations and spatial characteristics, the common framework is mainly divided into two parts: initial access and data transmission.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For the initial access part, there is no a priori information about eNB or UE antenna configuration and which beam or what multi-antenna transmission scheme is better. As stated in the following agreement from RAN1 #86，the initial access procedure should have unified design for single beam based and multi-beam based deployments. </w:t>
      </w:r>
    </w:p>
    <w:p>
      <w:pPr>
        <w:rPr>
          <w:rFonts w:hint="default" w:ascii="Times New Roman" w:hAnsi="Times New Roman" w:eastAsia="MS Mincho" w:cs="Times New Roman"/>
          <w:b/>
          <w:sz w:val="22"/>
          <w:szCs w:val="22"/>
          <w:u w:val="single"/>
          <w:lang w:eastAsia="ja-JP"/>
        </w:rPr>
      </w:pPr>
      <w:r>
        <w:rPr>
          <w:rFonts w:hint="default" w:ascii="Times New Roman" w:hAnsi="Times New Roman" w:eastAsia="宋体" w:cs="Times New Roman"/>
          <w:b/>
          <w:sz w:val="22"/>
          <w:szCs w:val="22"/>
          <w:highlight w:val="green"/>
          <w:u w:val="single"/>
          <w:lang w:val="en-US" w:eastAsia="zh-CN"/>
        </w:rPr>
        <w:t>A</w:t>
      </w:r>
      <w:r>
        <w:rPr>
          <w:rFonts w:hint="default" w:ascii="Times New Roman" w:hAnsi="Times New Roman" w:eastAsia="MS Mincho" w:cs="Times New Roman"/>
          <w:b/>
          <w:sz w:val="22"/>
          <w:szCs w:val="22"/>
          <w:highlight w:val="green"/>
          <w:u w:val="single"/>
          <w:lang w:eastAsia="ja-JP"/>
        </w:rPr>
        <w:t>greements:</w:t>
      </w:r>
    </w:p>
    <w:p>
      <w:pPr>
        <w:numPr>
          <w:ilvl w:val="0"/>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RAN1 should strive for a common framework, including for example structure of synchronization signals, for initial access</w:t>
      </w:r>
    </w:p>
    <w:p>
      <w:pPr>
        <w:numPr>
          <w:ilvl w:val="0"/>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More specifically, especially within a group of frequency bands in the frequency range, RAN1 should strive for an unified framework covering</w:t>
      </w:r>
    </w:p>
    <w:p>
      <w:pPr>
        <w:numPr>
          <w:ilvl w:val="1"/>
          <w:numId w:val="3"/>
        </w:numPr>
        <w:rPr>
          <w:rFonts w:hint="default" w:ascii="Times New Roman" w:hAnsi="Times New Roman" w:eastAsia="MS Mincho" w:cs="Times New Roman"/>
          <w:i/>
          <w:iCs/>
          <w:sz w:val="22"/>
          <w:szCs w:val="22"/>
          <w:lang w:val="en-US" w:eastAsia="ja-JP"/>
        </w:rPr>
      </w:pPr>
      <w:r>
        <w:rPr>
          <w:rFonts w:hint="default" w:ascii="Times New Roman" w:hAnsi="Times New Roman" w:eastAsia="MS Mincho" w:cs="Times New Roman"/>
          <w:i/>
          <w:iCs/>
          <w:sz w:val="22"/>
          <w:szCs w:val="22"/>
          <w:lang w:val="en-US" w:eastAsia="ja-JP"/>
        </w:rPr>
        <w:t>Single beam based and multi-beam based deployments</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For the initial access part, multi-antenna and beam management schemes should be efficient from the perspective of power and resource utilization. Through the procedure, UE should gain the initial information of system configuration and spatial characterics and get connected to the network. The corresponding aspects would be discussed in our companion contribution[1].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After initial access, network and UE gained initial information about antenna configuration of each other. For the following data transmission, the common framework should support configurable design to satisfy different antenna configurations. The configurable design is also suitable for forward compatibility in the sense that signals could be well confined in frequency and time in a dynamic and controllable way.  </w:t>
      </w:r>
    </w:p>
    <w:p>
      <w:pPr>
        <w:widowControl/>
        <w:spacing w:after="120"/>
        <w:rPr>
          <w:rFonts w:hint="eastAsia" w:ascii="Times New Roman" w:hAnsi="Times New Roman" w:cs="Times New Roman"/>
          <w:kern w:val="0"/>
          <w:sz w:val="22"/>
          <w:lang w:val="en-US" w:eastAsia="zh-CN"/>
        </w:rPr>
      </w:pPr>
      <w:r>
        <w:rPr>
          <w:rFonts w:hint="eastAsia" w:ascii="Times New Roman" w:hAnsi="Times New Roman" w:cs="Times New Roman"/>
          <w:kern w:val="0"/>
          <w:sz w:val="22"/>
          <w:lang w:val="en-US" w:eastAsia="zh-CN"/>
        </w:rPr>
        <w:t xml:space="preserve">In order to support such configurable design, NR should be able to make use of the </w:t>
      </w:r>
      <w:r>
        <w:rPr>
          <w:rFonts w:hint="eastAsia" w:ascii="Times New Roman" w:hAnsi="Times New Roman" w:cs="Times New Roman"/>
          <w:i/>
          <w:iCs/>
          <w:kern w:val="0"/>
          <w:sz w:val="22"/>
          <w:lang w:val="en-US" w:eastAsia="zh-CN"/>
        </w:rPr>
        <w:t>a priori</w:t>
      </w:r>
      <w:r>
        <w:rPr>
          <w:rFonts w:hint="eastAsia" w:ascii="Times New Roman" w:hAnsi="Times New Roman" w:cs="Times New Roman"/>
          <w:kern w:val="0"/>
          <w:sz w:val="22"/>
          <w:lang w:val="en-US" w:eastAsia="zh-CN"/>
        </w:rPr>
        <w:t xml:space="preserve"> information to build a robust control channel to transfer the configuration information.</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2: From the perspective of whether there is a priori information about multi-antenna configurations and spatial characteristics, the common framework could be divided into two parts: with and without a priori information (initial access and data transmission). For the part without a priori information, beam management should efficient from power and resource utilization perspective. For the part with a priori information, the common framework should be dynamically configurable to satisfy the needs of different antenna deployment, always changing wireless environment and forward compatibility.</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lang w:val="en-US" w:eastAsia="zh-CN"/>
        </w:rPr>
        <w:t>Beam Management and MIMO Transmission</w:t>
      </w:r>
    </w:p>
    <w:p>
      <w:pPr>
        <w:widowControl/>
        <w:spacing w:after="120"/>
        <w:rPr>
          <w:rFonts w:hint="eastAsia" w:ascii="Times New Roman" w:hAnsi="Times New Roman" w:cs="Times New Roman"/>
          <w:b w:val="0"/>
          <w:bCs/>
          <w:i w:val="0"/>
          <w:iCs/>
          <w:kern w:val="0"/>
          <w:sz w:val="22"/>
          <w:lang w:val="en-US" w:eastAsia="zh-CN"/>
        </w:rPr>
      </w:pPr>
      <w:r>
        <w:rPr>
          <w:rFonts w:hint="eastAsia" w:ascii="Times New Roman" w:hAnsi="Times New Roman" w:cs="Times New Roman"/>
          <w:b w:val="0"/>
          <w:bCs/>
          <w:i w:val="0"/>
          <w:iCs/>
          <w:kern w:val="0"/>
          <w:sz w:val="22"/>
          <w:lang w:val="en-US" w:eastAsia="zh-CN"/>
        </w:rPr>
        <w:t xml:space="preserve">The issue of beam management is raised due to the possibility of beamforming with large number of antennas in both control and data domain. It should be viewed as part of the NR multi-antenna design and comprises one of the major component in the above common framework. </w:t>
      </w:r>
    </w:p>
    <w:p>
      <w:pPr>
        <w:widowControl/>
        <w:spacing w:after="120"/>
        <w:rPr>
          <w:rFonts w:hint="eastAsia" w:ascii="Times New Roman" w:hAnsi="Times New Roman" w:cs="Times New Roman"/>
          <w:b w:val="0"/>
          <w:bCs/>
          <w:i w:val="0"/>
          <w:iCs/>
          <w:kern w:val="0"/>
          <w:sz w:val="22"/>
          <w:lang w:val="en-US" w:eastAsia="zh-CN"/>
        </w:rPr>
      </w:pPr>
      <w:r>
        <w:rPr>
          <w:rFonts w:hint="eastAsia" w:ascii="Times New Roman" w:hAnsi="Times New Roman" w:cs="Times New Roman"/>
          <w:b w:val="0"/>
          <w:bCs/>
          <w:i w:val="0"/>
          <w:iCs/>
          <w:kern w:val="0"/>
          <w:sz w:val="22"/>
          <w:lang w:val="en-US" w:eastAsia="zh-CN"/>
        </w:rPr>
        <w:t>It is possible beam management is part of the initial access procedure. Beam ID detection and the following random access help to identify the possible beams that could be used. The detailed design of beam management in intial access would be discussed in our companion contribution.</w:t>
      </w:r>
    </w:p>
    <w:p>
      <w:pPr>
        <w:widowControl/>
        <w:spacing w:after="120"/>
        <w:rPr>
          <w:rFonts w:hint="eastAsia" w:ascii="Times New Roman" w:hAnsi="Times New Roman" w:cs="Times New Roman"/>
          <w:b w:val="0"/>
          <w:bCs/>
          <w:i w:val="0"/>
          <w:iCs/>
          <w:kern w:val="0"/>
          <w:sz w:val="22"/>
          <w:lang w:val="en-US" w:eastAsia="zh-CN"/>
        </w:rPr>
      </w:pPr>
      <w:r>
        <w:rPr>
          <w:rFonts w:hint="eastAsia" w:ascii="Times New Roman" w:hAnsi="Times New Roman" w:cs="Times New Roman"/>
          <w:b w:val="0"/>
          <w:bCs/>
          <w:i w:val="0"/>
          <w:iCs/>
          <w:kern w:val="0"/>
          <w:sz w:val="22"/>
          <w:lang w:val="en-US" w:eastAsia="zh-CN"/>
        </w:rPr>
        <w:t xml:space="preserve">When the network and UE have gained some initial information, the following beam management and MIMO transmission should make full use of the information. As discussed above, beam management should be viewed as a component of the whole MIMO transmission scheme. Thus the reference signal, measurement and corresponding report should be structured in one framework for both beam management and normal MIMO related procedure. Besides the unified design for different deployments, the design for beam management and other MIMO related procedure should also be unified.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3: The reference signal, measurement and corresponding report should be well structured in one framework for both beam management and other MIMO related procedures.</w:t>
      </w:r>
    </w:p>
    <w:p>
      <w:pPr>
        <w:pStyle w:val="2"/>
        <w:keepLines w:val="0"/>
        <w:widowControl/>
        <w:numPr>
          <w:ilvl w:val="0"/>
          <w:numId w:val="2"/>
        </w:numPr>
        <w:tabs>
          <w:tab w:val="left" w:pos="0"/>
        </w:tabs>
        <w:spacing w:before="240" w:after="120" w:line="240" w:lineRule="auto"/>
        <w:jc w:val="left"/>
        <w:rPr>
          <w:rFonts w:ascii="Times New Roman" w:hAnsi="Times New Roman" w:cs="Times New Roman"/>
          <w:kern w:val="28"/>
          <w:sz w:val="28"/>
          <w:szCs w:val="24"/>
        </w:rPr>
      </w:pPr>
      <w:r>
        <w:rPr>
          <w:rFonts w:hint="eastAsia" w:ascii="Times New Roman" w:hAnsi="Times New Roman" w:cs="Times New Roman"/>
          <w:kern w:val="28"/>
          <w:sz w:val="28"/>
          <w:szCs w:val="24"/>
          <w:lang w:val="en-US" w:eastAsia="zh-CN"/>
        </w:rPr>
        <w:t>Configurability</w:t>
      </w:r>
    </w:p>
    <w:p>
      <w:pPr>
        <w:widowControl/>
        <w:spacing w:after="120"/>
        <w:rPr>
          <w:rFonts w:hint="eastAsia" w:ascii="Times New Roman" w:hAnsi="Times New Roman" w:cs="Times New Roman"/>
          <w:b w:val="0"/>
          <w:bCs/>
          <w:i w:val="0"/>
          <w:iCs/>
          <w:kern w:val="0"/>
          <w:sz w:val="22"/>
          <w:lang w:val="en-US" w:eastAsia="zh-CN"/>
        </w:rPr>
      </w:pPr>
      <w:r>
        <w:rPr>
          <w:rFonts w:hint="eastAsia" w:ascii="Times New Roman" w:hAnsi="Times New Roman" w:cs="Times New Roman"/>
          <w:b w:val="0"/>
          <w:bCs/>
          <w:i w:val="0"/>
          <w:iCs/>
          <w:kern w:val="0"/>
          <w:sz w:val="22"/>
          <w:lang w:val="en-US" w:eastAsia="zh-CN"/>
        </w:rPr>
        <w:t>As stated above, dynamically configurable to satisfy the needs of different antenna deployment, always changing wireless environment and forward compatibility. A robust control channel should be designed to ensure effective and efficient dynamic configuration of MIMO transmission schemes. But control channel also needs beam management. Its design should take advantage of the information gained at initial access. When there is further refinement of beams in the following, the control channel should be able to efficiently adapt to the finer beams. Beam management of the control channel should guarantee robustness and efficiency in various environment. The corresponding design details is shown in our companion contribution [2].</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4: The major component of NR configurability is its robuts control channel design for DL and UL. Beam management of the control channel should guarantee robustness and efficiency in various environment.   </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eastAsia="MS Gothic" w:cs="Times New Roman"/>
          <w:kern w:val="28"/>
          <w:sz w:val="28"/>
          <w:szCs w:val="24"/>
          <w:lang w:eastAsia="ja-JP"/>
        </w:rPr>
        <w:t>Conclusion</w:t>
      </w:r>
    </w:p>
    <w:p>
      <w:pPr>
        <w:widowControl/>
        <w:spacing w:after="120"/>
        <w:rPr>
          <w:rFonts w:hint="eastAsia" w:ascii="Times New Roman" w:hAnsi="Times New Roman" w:cs="Times New Roman"/>
          <w:b/>
          <w:bCs w:val="0"/>
          <w:i/>
          <w:iCs w:val="0"/>
          <w:kern w:val="0"/>
          <w:sz w:val="22"/>
          <w:lang w:val="en-US" w:eastAsia="zh-CN"/>
        </w:rPr>
      </w:pPr>
      <w:r>
        <w:rPr>
          <w:rFonts w:hint="eastAsia" w:ascii="Times New Roman" w:hAnsi="Times New Roman" w:cs="Times New Roman"/>
          <w:b/>
          <w:bCs w:val="0"/>
          <w:i/>
          <w:iCs w:val="0"/>
          <w:kern w:val="0"/>
          <w:sz w:val="22"/>
          <w:lang w:val="en-US" w:eastAsia="zh-CN"/>
        </w:rPr>
        <w:t xml:space="preserve">Proprosal 1: It is highly preferable to have a common framework for different number of antenna elements and across different frequency bands. </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2: From the perspective of whether there is a priori information about multi-antenna configurations and spatial characteristics, the common framework could be divided into two parts: with and without a priori information (initial access and data transmission). For the part without a priori information, beam management should efficient from power and resource utilization perspective. For the part with a priori information, the common framework should be dynamically configurable to satisfy the needs of different antenna deployment, always changing wireless environment and forward compatibility.</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Proposal 3: The reference signal, measurement and corresponding report should be well structured in one framework for both beam management and other MIMO related procedures.</w:t>
      </w:r>
    </w:p>
    <w:p>
      <w:pPr>
        <w:widowControl/>
        <w:spacing w:after="120"/>
        <w:rPr>
          <w:rFonts w:hint="eastAsia" w:ascii="Times New Roman" w:hAnsi="Times New Roman" w:cs="Times New Roman"/>
          <w:b/>
          <w:i/>
          <w:kern w:val="0"/>
          <w:sz w:val="22"/>
          <w:lang w:val="en-US" w:eastAsia="zh-CN"/>
        </w:rPr>
      </w:pPr>
      <w:r>
        <w:rPr>
          <w:rFonts w:hint="eastAsia" w:ascii="Times New Roman" w:hAnsi="Times New Roman" w:cs="Times New Roman"/>
          <w:b/>
          <w:i/>
          <w:kern w:val="0"/>
          <w:sz w:val="22"/>
          <w:lang w:val="en-US" w:eastAsia="zh-CN"/>
        </w:rPr>
        <w:t xml:space="preserve">Proposal 4: The major component of NR configurability is its robust control channel design for DL and UL. Beam management of the control channel should guarantee robustness and efficiency in various environment.  </w:t>
      </w:r>
    </w:p>
    <w:p>
      <w:pPr>
        <w:pStyle w:val="2"/>
        <w:keepLines w:val="0"/>
        <w:widowControl/>
        <w:numPr>
          <w:ilvl w:val="0"/>
          <w:numId w:val="2"/>
        </w:numPr>
        <w:tabs>
          <w:tab w:val="left" w:pos="0"/>
        </w:tabs>
        <w:spacing w:before="240" w:after="120" w:line="240" w:lineRule="auto"/>
        <w:jc w:val="left"/>
        <w:rPr>
          <w:rFonts w:ascii="Times New Roman" w:hAnsi="Times New Roman" w:eastAsia="MS Gothic" w:cs="Times New Roman"/>
          <w:kern w:val="28"/>
          <w:sz w:val="28"/>
          <w:szCs w:val="24"/>
          <w:lang w:eastAsia="ja-JP"/>
        </w:rPr>
      </w:pPr>
      <w:r>
        <w:rPr>
          <w:rFonts w:hint="eastAsia" w:ascii="Times New Roman" w:hAnsi="Times New Roman" w:eastAsia="MS Gothic" w:cs="Times New Roman"/>
          <w:kern w:val="28"/>
          <w:sz w:val="28"/>
          <w:szCs w:val="24"/>
          <w:lang w:eastAsia="ja-JP"/>
        </w:rPr>
        <w:t>References</w:t>
      </w:r>
    </w:p>
    <w:p>
      <w:pPr>
        <w:widowControl/>
        <w:tabs>
          <w:tab w:val="left" w:pos="520"/>
        </w:tabs>
        <w:rPr>
          <w:rFonts w:ascii="Times New Roman" w:hAnsi="Times New Roman" w:eastAsia="Arial Unicode MS" w:cs="Arial"/>
          <w:sz w:val="22"/>
          <w:lang w:val="en-GB"/>
        </w:rPr>
      </w:pPr>
      <w:r>
        <w:rPr>
          <w:rFonts w:hint="eastAsia" w:ascii="Times New Roman" w:hAnsi="Times New Roman" w:eastAsia="Arial Unicode MS" w:cs="Arial"/>
          <w:sz w:val="22"/>
          <w:lang w:val="en-GB"/>
        </w:rPr>
        <w:t xml:space="preserve">[1] </w:t>
      </w:r>
      <w:r>
        <w:rPr>
          <w:rFonts w:ascii="Times New Roman" w:hAnsi="Times New Roman" w:eastAsia="Arial Unicode MS" w:cs="Arial"/>
          <w:sz w:val="22"/>
          <w:lang w:val="en-GB"/>
        </w:rPr>
        <w:t>R1-160</w:t>
      </w:r>
      <w:r>
        <w:rPr>
          <w:rFonts w:hint="eastAsia" w:ascii="Times New Roman" w:hAnsi="Times New Roman" w:eastAsia="Arial Unicode MS" w:cs="Arial"/>
          <w:sz w:val="22"/>
          <w:lang w:val="en-US" w:eastAsia="zh-CN"/>
        </w:rPr>
        <w:t>9697</w:t>
      </w:r>
      <w:r>
        <w:rPr>
          <w:rFonts w:hint="eastAsia" w:ascii="Times New Roman" w:hAnsi="Times New Roman" w:eastAsia="Arial Unicode MS" w:cs="Arial"/>
          <w:sz w:val="22"/>
          <w:lang w:val="en-GB"/>
        </w:rPr>
        <w:t>,</w:t>
      </w:r>
      <w:r>
        <w:rPr>
          <w:rFonts w:ascii="Times New Roman" w:hAnsi="Times New Roman" w:eastAsia="Arial Unicode MS" w:cs="Arial"/>
          <w:sz w:val="22"/>
          <w:lang w:val="en-GB"/>
        </w:rPr>
        <w:t xml:space="preserve"> </w:t>
      </w:r>
      <w:r>
        <w:rPr>
          <w:rFonts w:hint="eastAsia" w:ascii="Times New Roman" w:hAnsi="Times New Roman" w:eastAsia="Arial Unicode MS" w:cs="Arial"/>
          <w:sz w:val="22"/>
          <w:lang w:val="en-US" w:eastAsia="zh-CN"/>
        </w:rPr>
        <w:t>Discussion on NR Initial Access;</w:t>
      </w:r>
    </w:p>
    <w:p>
      <w:pPr>
        <w:widowControl/>
        <w:tabs>
          <w:tab w:val="left" w:pos="520"/>
        </w:tabs>
        <w:rPr>
          <w:rFonts w:hint="eastAsia" w:ascii="Times New Roman" w:hAnsi="Times New Roman" w:eastAsia="Arial Unicode MS" w:cs="Arial"/>
          <w:sz w:val="22"/>
          <w:lang w:val="en-US" w:eastAsia="zh-CN"/>
        </w:rPr>
      </w:pPr>
      <w:r>
        <w:rPr>
          <w:rFonts w:hint="eastAsia" w:ascii="Times New Roman" w:hAnsi="Times New Roman" w:eastAsia="Arial Unicode MS" w:cs="Arial"/>
          <w:sz w:val="22"/>
          <w:lang w:val="en-US" w:eastAsia="zh-CN"/>
        </w:rPr>
        <w:t>[2] R1-1609691 Beam Management Views and Designs;</w:t>
      </w:r>
      <w:bookmarkStart w:id="4" w:name="_GoBack"/>
      <w:bookmarkEnd w:id="4"/>
    </w:p>
    <w:p>
      <w:pPr>
        <w:widowControl/>
        <w:tabs>
          <w:tab w:val="left" w:pos="520"/>
        </w:tabs>
        <w:rPr>
          <w:rFonts w:ascii="Times New Roman" w:hAnsi="Times New Roman" w:eastAsia="Arial Unicode MS" w:cs="Arial"/>
          <w:sz w:val="22"/>
        </w:rPr>
      </w:pPr>
    </w:p>
    <w:p>
      <w:pPr>
        <w:widowControl/>
        <w:tabs>
          <w:tab w:val="left" w:pos="520"/>
        </w:tabs>
        <w:rPr>
          <w:rFonts w:ascii="Times New Roman" w:hAnsi="Times New Roman" w:eastAsia="Arial Unicode MS" w:cs="Arial"/>
          <w:sz w:val="22"/>
          <w:lang w:val="en-GB"/>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Arial Unicode MS">
    <w:panose1 w:val="020B0604020202020204"/>
    <w:charset w:val="86"/>
    <w:family w:val="swiss"/>
    <w:pitch w:val="default"/>
    <w:sig w:usb0="FFFFFFFF" w:usb1="E9FFFFFF" w:usb2="0000003F" w:usb3="00000000" w:csb0="603F01FF" w:csb1="FFFF0000"/>
  </w:font>
  <w:font w:name="ZapfDingbats">
    <w:altName w:val="AMGDT"/>
    <w:panose1 w:val="00000000000000000000"/>
    <w:charset w:val="02"/>
    <w:family w:val="decorative"/>
    <w:pitch w:val="default"/>
    <w:sig w:usb0="00000000" w:usb1="00000000" w:usb2="00000000" w:usb3="00000000" w:csb0="80000000" w:csb1="00000000"/>
  </w:font>
  <w:font w:name="OpenSymbol">
    <w:altName w:val="Yu Gothic"/>
    <w:panose1 w:val="00000000000000000000"/>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Ericsson Capital TT">
    <w:altName w:val="Corbel"/>
    <w:panose1 w:val="00000000000000000000"/>
    <w:charset w:val="00"/>
    <w:family w:val="auto"/>
    <w:pitch w:val="default"/>
    <w:sig w:usb0="00000000" w:usb1="00000000" w:usb2="00000000" w:usb3="00000000" w:csb0="000000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Century">
    <w:panose1 w:val="02040604050505020304"/>
    <w:charset w:val="00"/>
    <w:family w:val="roman"/>
    <w:pitch w:val="default"/>
    <w:sig w:usb0="00000287" w:usb1="00000000" w:usb2="00000000" w:usb3="00000000" w:csb0="2000009F" w:csb1="DFD70000"/>
  </w:font>
  <w:font w:name="Cambria Math">
    <w:panose1 w:val="02040503050406030204"/>
    <w:charset w:val="00"/>
    <w:family w:val="roman"/>
    <w:pitch w:val="default"/>
    <w:sig w:usb0="E00002FF" w:usb1="420024FF" w:usb2="00000000" w:usb3="00000000" w:csb0="2000019F" w:csb1="00000000"/>
  </w:font>
  <w:font w:name="Calibri Light">
    <w:panose1 w:val="020F0302020204030204"/>
    <w:charset w:val="00"/>
    <w:family w:val="swiss"/>
    <w:pitch w:val="default"/>
    <w:sig w:usb0="E0002AFF" w:usb1="C000247B" w:usb2="00000009" w:usb3="00000000" w:csb0="200001FF" w:csb1="00000000"/>
  </w:font>
  <w:font w:name="AMGDT">
    <w:panose1 w:val="02000400000000000000"/>
    <w:charset w:val="00"/>
    <w:family w:val="auto"/>
    <w:pitch w:val="default"/>
    <w:sig w:usb0="80000003" w:usb1="10000000" w:usb2="00000000" w:usb3="00000000" w:csb0="00000001" w:csb1="00000000"/>
  </w:font>
  <w:font w:name="Yu Gothic">
    <w:panose1 w:val="020B0400000000000000"/>
    <w:charset w:val="80"/>
    <w:family w:val="auto"/>
    <w:pitch w:val="default"/>
    <w:sig w:usb0="E00002FF" w:usb1="2AC7FDFF" w:usb2="00000016" w:usb3="00000000" w:csb0="2002009F" w:csb1="00000000"/>
  </w:font>
  <w:font w:name="Corbel">
    <w:panose1 w:val="020B0503020204020204"/>
    <w:charset w:val="00"/>
    <w:family w:val="auto"/>
    <w:pitch w:val="default"/>
    <w:sig w:usb0="A00002EF" w:usb1="4000A44B" w:usb2="00000000" w:usb3="00000000" w:csb0="2000019F" w:csb1="00000000"/>
  </w:font>
  <w:font w:name="微软雅黑">
    <w:panose1 w:val="020B0503020204020204"/>
    <w:charset w:val="86"/>
    <w:family w:val="auto"/>
    <w:pitch w:val="default"/>
    <w:sig w:usb0="80000287" w:usb1="28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D4CD6"/>
    <w:multiLevelType w:val="multilevel"/>
    <w:tmpl w:val="18FD4CD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2E315BFD"/>
    <w:multiLevelType w:val="multilevel"/>
    <w:tmpl w:val="2E315BFD"/>
    <w:lvl w:ilvl="0" w:tentative="0">
      <w:start w:val="1"/>
      <w:numFmt w:val="bullet"/>
      <w:lvlText w:val="•"/>
      <w:lvlJc w:val="left"/>
      <w:pPr>
        <w:tabs>
          <w:tab w:val="left" w:pos="720"/>
        </w:tabs>
        <w:ind w:left="720" w:hanging="360"/>
      </w:pPr>
      <w:rPr>
        <w:rFonts w:hint="default" w:ascii="Arial" w:hAnsi="Arial"/>
      </w:rPr>
    </w:lvl>
    <w:lvl w:ilvl="1" w:tentative="0">
      <w:start w:val="576"/>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72D06AB1"/>
    <w:multiLevelType w:val="multilevel"/>
    <w:tmpl w:val="72D06AB1"/>
    <w:lvl w:ilvl="0" w:tentative="0">
      <w:start w:val="1"/>
      <w:numFmt w:val="decimal"/>
      <w:lvlText w:val="%1."/>
      <w:lvlJc w:val="left"/>
      <w:pPr>
        <w:ind w:left="420" w:hanging="420"/>
      </w:pPr>
      <w:rPr>
        <w:rFonts w:hint="default"/>
        <w:sz w:val="28"/>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26F6E"/>
    <w:rsid w:val="000029FC"/>
    <w:rsid w:val="00003713"/>
    <w:rsid w:val="0000685E"/>
    <w:rsid w:val="000171F4"/>
    <w:rsid w:val="00024BF6"/>
    <w:rsid w:val="00025C7D"/>
    <w:rsid w:val="00025E3B"/>
    <w:rsid w:val="00033E64"/>
    <w:rsid w:val="00034562"/>
    <w:rsid w:val="00035023"/>
    <w:rsid w:val="0003532D"/>
    <w:rsid w:val="00040C6C"/>
    <w:rsid w:val="00040D7E"/>
    <w:rsid w:val="000416C6"/>
    <w:rsid w:val="00042340"/>
    <w:rsid w:val="00042C79"/>
    <w:rsid w:val="0004339C"/>
    <w:rsid w:val="00043D8C"/>
    <w:rsid w:val="00046DCB"/>
    <w:rsid w:val="000509D9"/>
    <w:rsid w:val="00054EA6"/>
    <w:rsid w:val="00056293"/>
    <w:rsid w:val="00057204"/>
    <w:rsid w:val="00061712"/>
    <w:rsid w:val="00061AFD"/>
    <w:rsid w:val="00062B70"/>
    <w:rsid w:val="00063F0A"/>
    <w:rsid w:val="0006490B"/>
    <w:rsid w:val="0007146E"/>
    <w:rsid w:val="0007593C"/>
    <w:rsid w:val="00075CB0"/>
    <w:rsid w:val="0007747B"/>
    <w:rsid w:val="0008235F"/>
    <w:rsid w:val="00082ECB"/>
    <w:rsid w:val="0008767A"/>
    <w:rsid w:val="0008787C"/>
    <w:rsid w:val="00090BCF"/>
    <w:rsid w:val="00090EB9"/>
    <w:rsid w:val="000910A0"/>
    <w:rsid w:val="00091359"/>
    <w:rsid w:val="00091CD3"/>
    <w:rsid w:val="0009408E"/>
    <w:rsid w:val="0009470F"/>
    <w:rsid w:val="00094E6D"/>
    <w:rsid w:val="00096742"/>
    <w:rsid w:val="000A0516"/>
    <w:rsid w:val="000A17B4"/>
    <w:rsid w:val="000A1B74"/>
    <w:rsid w:val="000B0CF2"/>
    <w:rsid w:val="000B4611"/>
    <w:rsid w:val="000C1292"/>
    <w:rsid w:val="000C47E7"/>
    <w:rsid w:val="000C51BD"/>
    <w:rsid w:val="000D2605"/>
    <w:rsid w:val="000D2C7A"/>
    <w:rsid w:val="000D397F"/>
    <w:rsid w:val="000D543E"/>
    <w:rsid w:val="000D7900"/>
    <w:rsid w:val="000E0B14"/>
    <w:rsid w:val="000E10A6"/>
    <w:rsid w:val="000E2276"/>
    <w:rsid w:val="000E2A50"/>
    <w:rsid w:val="000E44C7"/>
    <w:rsid w:val="000E59B6"/>
    <w:rsid w:val="000E5E80"/>
    <w:rsid w:val="000F01FA"/>
    <w:rsid w:val="000F167F"/>
    <w:rsid w:val="000F197C"/>
    <w:rsid w:val="000F3CB4"/>
    <w:rsid w:val="000F74CE"/>
    <w:rsid w:val="00100F0B"/>
    <w:rsid w:val="00103578"/>
    <w:rsid w:val="001048EF"/>
    <w:rsid w:val="001049DC"/>
    <w:rsid w:val="00107E36"/>
    <w:rsid w:val="00110328"/>
    <w:rsid w:val="00111582"/>
    <w:rsid w:val="00111BDF"/>
    <w:rsid w:val="001145D8"/>
    <w:rsid w:val="00115B7E"/>
    <w:rsid w:val="001177C2"/>
    <w:rsid w:val="0012002B"/>
    <w:rsid w:val="00120FAF"/>
    <w:rsid w:val="00121587"/>
    <w:rsid w:val="00122076"/>
    <w:rsid w:val="0012310C"/>
    <w:rsid w:val="0012447C"/>
    <w:rsid w:val="00126156"/>
    <w:rsid w:val="00130B39"/>
    <w:rsid w:val="00130FF2"/>
    <w:rsid w:val="00131736"/>
    <w:rsid w:val="0013231C"/>
    <w:rsid w:val="00133C29"/>
    <w:rsid w:val="001348E8"/>
    <w:rsid w:val="00135E38"/>
    <w:rsid w:val="001370FC"/>
    <w:rsid w:val="00141A01"/>
    <w:rsid w:val="0014311F"/>
    <w:rsid w:val="00144544"/>
    <w:rsid w:val="00144600"/>
    <w:rsid w:val="001534BD"/>
    <w:rsid w:val="00153A24"/>
    <w:rsid w:val="001548C6"/>
    <w:rsid w:val="00154A69"/>
    <w:rsid w:val="00154F40"/>
    <w:rsid w:val="001569CC"/>
    <w:rsid w:val="00162636"/>
    <w:rsid w:val="00162CD3"/>
    <w:rsid w:val="00163385"/>
    <w:rsid w:val="00167CDE"/>
    <w:rsid w:val="00167E74"/>
    <w:rsid w:val="00174FD3"/>
    <w:rsid w:val="0017605A"/>
    <w:rsid w:val="00181D2C"/>
    <w:rsid w:val="00183B36"/>
    <w:rsid w:val="001841E2"/>
    <w:rsid w:val="001843DD"/>
    <w:rsid w:val="00186059"/>
    <w:rsid w:val="00191BF6"/>
    <w:rsid w:val="00191EE0"/>
    <w:rsid w:val="00193CF8"/>
    <w:rsid w:val="00197519"/>
    <w:rsid w:val="00197A25"/>
    <w:rsid w:val="001A6232"/>
    <w:rsid w:val="001B0C46"/>
    <w:rsid w:val="001B189F"/>
    <w:rsid w:val="001B48E7"/>
    <w:rsid w:val="001C0172"/>
    <w:rsid w:val="001C1AFB"/>
    <w:rsid w:val="001C4774"/>
    <w:rsid w:val="001C54CC"/>
    <w:rsid w:val="001C6343"/>
    <w:rsid w:val="001D4DF7"/>
    <w:rsid w:val="001D75E2"/>
    <w:rsid w:val="001E1AB4"/>
    <w:rsid w:val="001E7D72"/>
    <w:rsid w:val="001F1183"/>
    <w:rsid w:val="001F2462"/>
    <w:rsid w:val="001F50C8"/>
    <w:rsid w:val="001F51FC"/>
    <w:rsid w:val="001F58F2"/>
    <w:rsid w:val="001F6ED8"/>
    <w:rsid w:val="001F7405"/>
    <w:rsid w:val="00202FDD"/>
    <w:rsid w:val="00203EB1"/>
    <w:rsid w:val="00204816"/>
    <w:rsid w:val="00206476"/>
    <w:rsid w:val="00206B0F"/>
    <w:rsid w:val="00217305"/>
    <w:rsid w:val="00220DBD"/>
    <w:rsid w:val="00224AF9"/>
    <w:rsid w:val="00226479"/>
    <w:rsid w:val="002264DB"/>
    <w:rsid w:val="00227D90"/>
    <w:rsid w:val="00232AE6"/>
    <w:rsid w:val="00233018"/>
    <w:rsid w:val="0023617A"/>
    <w:rsid w:val="00236C8F"/>
    <w:rsid w:val="00237F2F"/>
    <w:rsid w:val="00241215"/>
    <w:rsid w:val="0024567A"/>
    <w:rsid w:val="002471B5"/>
    <w:rsid w:val="00250B7C"/>
    <w:rsid w:val="00251181"/>
    <w:rsid w:val="0025609C"/>
    <w:rsid w:val="00256538"/>
    <w:rsid w:val="00260A19"/>
    <w:rsid w:val="00261368"/>
    <w:rsid w:val="0026347C"/>
    <w:rsid w:val="00263CCA"/>
    <w:rsid w:val="00266AEC"/>
    <w:rsid w:val="00266F02"/>
    <w:rsid w:val="00270B66"/>
    <w:rsid w:val="002726F4"/>
    <w:rsid w:val="00272A07"/>
    <w:rsid w:val="00272F79"/>
    <w:rsid w:val="00280772"/>
    <w:rsid w:val="002827C3"/>
    <w:rsid w:val="002851F6"/>
    <w:rsid w:val="00286651"/>
    <w:rsid w:val="00286B2F"/>
    <w:rsid w:val="0028712A"/>
    <w:rsid w:val="002874B3"/>
    <w:rsid w:val="002922ED"/>
    <w:rsid w:val="00295DB1"/>
    <w:rsid w:val="0029685D"/>
    <w:rsid w:val="00296AC3"/>
    <w:rsid w:val="002A0521"/>
    <w:rsid w:val="002A1D2C"/>
    <w:rsid w:val="002A60A6"/>
    <w:rsid w:val="002A63A1"/>
    <w:rsid w:val="002A70FF"/>
    <w:rsid w:val="002B2E4A"/>
    <w:rsid w:val="002B65DE"/>
    <w:rsid w:val="002B7C0A"/>
    <w:rsid w:val="002C0738"/>
    <w:rsid w:val="002C514E"/>
    <w:rsid w:val="002C594C"/>
    <w:rsid w:val="002C6F98"/>
    <w:rsid w:val="002D0398"/>
    <w:rsid w:val="002D08CF"/>
    <w:rsid w:val="002D1A89"/>
    <w:rsid w:val="002D4800"/>
    <w:rsid w:val="002D5026"/>
    <w:rsid w:val="002D526A"/>
    <w:rsid w:val="002E0B37"/>
    <w:rsid w:val="002E2C49"/>
    <w:rsid w:val="002E3BBA"/>
    <w:rsid w:val="002E6D08"/>
    <w:rsid w:val="002E7BBD"/>
    <w:rsid w:val="002F2ADA"/>
    <w:rsid w:val="002F342E"/>
    <w:rsid w:val="002F56E8"/>
    <w:rsid w:val="002F5887"/>
    <w:rsid w:val="00301FFE"/>
    <w:rsid w:val="003067E6"/>
    <w:rsid w:val="003122A1"/>
    <w:rsid w:val="00313307"/>
    <w:rsid w:val="003156A7"/>
    <w:rsid w:val="00315A5D"/>
    <w:rsid w:val="00316A33"/>
    <w:rsid w:val="003209E4"/>
    <w:rsid w:val="0032102B"/>
    <w:rsid w:val="0032237A"/>
    <w:rsid w:val="00323CCC"/>
    <w:rsid w:val="003240B1"/>
    <w:rsid w:val="003252AC"/>
    <w:rsid w:val="00325565"/>
    <w:rsid w:val="003330CE"/>
    <w:rsid w:val="0033389E"/>
    <w:rsid w:val="00333F78"/>
    <w:rsid w:val="003358FF"/>
    <w:rsid w:val="00336148"/>
    <w:rsid w:val="00336B56"/>
    <w:rsid w:val="00343C6E"/>
    <w:rsid w:val="00350A55"/>
    <w:rsid w:val="003522F4"/>
    <w:rsid w:val="0035306F"/>
    <w:rsid w:val="00353882"/>
    <w:rsid w:val="003541B8"/>
    <w:rsid w:val="00354F8D"/>
    <w:rsid w:val="003564D9"/>
    <w:rsid w:val="0036298A"/>
    <w:rsid w:val="00364766"/>
    <w:rsid w:val="00364B64"/>
    <w:rsid w:val="00365047"/>
    <w:rsid w:val="00365886"/>
    <w:rsid w:val="0036594C"/>
    <w:rsid w:val="003669C5"/>
    <w:rsid w:val="0037059B"/>
    <w:rsid w:val="00371300"/>
    <w:rsid w:val="00373EC6"/>
    <w:rsid w:val="00376A6B"/>
    <w:rsid w:val="00377DF3"/>
    <w:rsid w:val="00377FAE"/>
    <w:rsid w:val="0038265A"/>
    <w:rsid w:val="00386376"/>
    <w:rsid w:val="00391B4A"/>
    <w:rsid w:val="0039513B"/>
    <w:rsid w:val="00397807"/>
    <w:rsid w:val="003A3C24"/>
    <w:rsid w:val="003A6BA4"/>
    <w:rsid w:val="003B3D77"/>
    <w:rsid w:val="003C00E4"/>
    <w:rsid w:val="003C37A7"/>
    <w:rsid w:val="003C4E5F"/>
    <w:rsid w:val="003C6BD8"/>
    <w:rsid w:val="003C6E7B"/>
    <w:rsid w:val="003D161D"/>
    <w:rsid w:val="003D2634"/>
    <w:rsid w:val="003D2D61"/>
    <w:rsid w:val="003D2E96"/>
    <w:rsid w:val="003D6EEC"/>
    <w:rsid w:val="003E1A5D"/>
    <w:rsid w:val="003E3DF4"/>
    <w:rsid w:val="003E490E"/>
    <w:rsid w:val="003E662B"/>
    <w:rsid w:val="003F0690"/>
    <w:rsid w:val="003F0E64"/>
    <w:rsid w:val="003F1626"/>
    <w:rsid w:val="003F2C04"/>
    <w:rsid w:val="003F3839"/>
    <w:rsid w:val="003F6FE6"/>
    <w:rsid w:val="003F7205"/>
    <w:rsid w:val="004013FE"/>
    <w:rsid w:val="00404D81"/>
    <w:rsid w:val="00404DFD"/>
    <w:rsid w:val="00406488"/>
    <w:rsid w:val="004066FA"/>
    <w:rsid w:val="004110F7"/>
    <w:rsid w:val="00414243"/>
    <w:rsid w:val="00415D7A"/>
    <w:rsid w:val="00415F71"/>
    <w:rsid w:val="00416B2C"/>
    <w:rsid w:val="004170E9"/>
    <w:rsid w:val="00417C01"/>
    <w:rsid w:val="004207B2"/>
    <w:rsid w:val="00420EED"/>
    <w:rsid w:val="0042169E"/>
    <w:rsid w:val="00424205"/>
    <w:rsid w:val="004245A4"/>
    <w:rsid w:val="00425486"/>
    <w:rsid w:val="00430288"/>
    <w:rsid w:val="0043541E"/>
    <w:rsid w:val="004361B9"/>
    <w:rsid w:val="004374D8"/>
    <w:rsid w:val="00437B94"/>
    <w:rsid w:val="0044564B"/>
    <w:rsid w:val="00446403"/>
    <w:rsid w:val="00451EF5"/>
    <w:rsid w:val="00452A07"/>
    <w:rsid w:val="00454612"/>
    <w:rsid w:val="00454A0F"/>
    <w:rsid w:val="00454D49"/>
    <w:rsid w:val="00455122"/>
    <w:rsid w:val="00456870"/>
    <w:rsid w:val="00456B25"/>
    <w:rsid w:val="00464C37"/>
    <w:rsid w:val="00464DE0"/>
    <w:rsid w:val="004652E4"/>
    <w:rsid w:val="00470C11"/>
    <w:rsid w:val="00473065"/>
    <w:rsid w:val="004806AF"/>
    <w:rsid w:val="00483719"/>
    <w:rsid w:val="00483C15"/>
    <w:rsid w:val="0048494F"/>
    <w:rsid w:val="00486C05"/>
    <w:rsid w:val="004877E1"/>
    <w:rsid w:val="004904CE"/>
    <w:rsid w:val="00491A0B"/>
    <w:rsid w:val="00492B6A"/>
    <w:rsid w:val="00495A35"/>
    <w:rsid w:val="00497E2E"/>
    <w:rsid w:val="004A00B4"/>
    <w:rsid w:val="004A4622"/>
    <w:rsid w:val="004A4CE5"/>
    <w:rsid w:val="004A78E7"/>
    <w:rsid w:val="004A7F67"/>
    <w:rsid w:val="004B0B9D"/>
    <w:rsid w:val="004B2AAD"/>
    <w:rsid w:val="004B3A37"/>
    <w:rsid w:val="004B433B"/>
    <w:rsid w:val="004B47FD"/>
    <w:rsid w:val="004B7D01"/>
    <w:rsid w:val="004C1794"/>
    <w:rsid w:val="004C1BE1"/>
    <w:rsid w:val="004C24DF"/>
    <w:rsid w:val="004C7721"/>
    <w:rsid w:val="004D008C"/>
    <w:rsid w:val="004D03C3"/>
    <w:rsid w:val="004D1305"/>
    <w:rsid w:val="004D4136"/>
    <w:rsid w:val="004D4C98"/>
    <w:rsid w:val="004E2020"/>
    <w:rsid w:val="004E612C"/>
    <w:rsid w:val="004F03F0"/>
    <w:rsid w:val="004F1E89"/>
    <w:rsid w:val="004F3182"/>
    <w:rsid w:val="004F3548"/>
    <w:rsid w:val="004F49C8"/>
    <w:rsid w:val="004F55BF"/>
    <w:rsid w:val="004F5988"/>
    <w:rsid w:val="00502698"/>
    <w:rsid w:val="00503D5D"/>
    <w:rsid w:val="005063E8"/>
    <w:rsid w:val="00507277"/>
    <w:rsid w:val="00510F78"/>
    <w:rsid w:val="005128F6"/>
    <w:rsid w:val="00514A20"/>
    <w:rsid w:val="005206B0"/>
    <w:rsid w:val="00520860"/>
    <w:rsid w:val="00525B44"/>
    <w:rsid w:val="00526634"/>
    <w:rsid w:val="0052690D"/>
    <w:rsid w:val="00526D36"/>
    <w:rsid w:val="00527188"/>
    <w:rsid w:val="00531764"/>
    <w:rsid w:val="00533B3F"/>
    <w:rsid w:val="005342AC"/>
    <w:rsid w:val="00535E9F"/>
    <w:rsid w:val="00542112"/>
    <w:rsid w:val="00544915"/>
    <w:rsid w:val="005456EA"/>
    <w:rsid w:val="00546D24"/>
    <w:rsid w:val="00546DB3"/>
    <w:rsid w:val="00550B75"/>
    <w:rsid w:val="00553166"/>
    <w:rsid w:val="00554981"/>
    <w:rsid w:val="00555B9A"/>
    <w:rsid w:val="00557190"/>
    <w:rsid w:val="00557440"/>
    <w:rsid w:val="00560C7D"/>
    <w:rsid w:val="00561027"/>
    <w:rsid w:val="005621B7"/>
    <w:rsid w:val="00564A8A"/>
    <w:rsid w:val="00567802"/>
    <w:rsid w:val="00567C38"/>
    <w:rsid w:val="005710FA"/>
    <w:rsid w:val="0057339F"/>
    <w:rsid w:val="005739C6"/>
    <w:rsid w:val="00580A01"/>
    <w:rsid w:val="00580C74"/>
    <w:rsid w:val="00581007"/>
    <w:rsid w:val="0058117D"/>
    <w:rsid w:val="005814D4"/>
    <w:rsid w:val="00582557"/>
    <w:rsid w:val="00582D96"/>
    <w:rsid w:val="00583D8C"/>
    <w:rsid w:val="005856F3"/>
    <w:rsid w:val="005865C1"/>
    <w:rsid w:val="00586DB7"/>
    <w:rsid w:val="0059084A"/>
    <w:rsid w:val="00593D90"/>
    <w:rsid w:val="00595B55"/>
    <w:rsid w:val="00596964"/>
    <w:rsid w:val="005A0623"/>
    <w:rsid w:val="005A2581"/>
    <w:rsid w:val="005A3F4D"/>
    <w:rsid w:val="005A4355"/>
    <w:rsid w:val="005A4E13"/>
    <w:rsid w:val="005A6564"/>
    <w:rsid w:val="005B2E37"/>
    <w:rsid w:val="005B5C6B"/>
    <w:rsid w:val="005B5D38"/>
    <w:rsid w:val="005B7B7F"/>
    <w:rsid w:val="005B7C84"/>
    <w:rsid w:val="005C08CD"/>
    <w:rsid w:val="005C1657"/>
    <w:rsid w:val="005C1DC6"/>
    <w:rsid w:val="005C3D2D"/>
    <w:rsid w:val="005C4595"/>
    <w:rsid w:val="005D1F70"/>
    <w:rsid w:val="005D49E8"/>
    <w:rsid w:val="005D4AD5"/>
    <w:rsid w:val="005D4C83"/>
    <w:rsid w:val="005D78B5"/>
    <w:rsid w:val="005E195A"/>
    <w:rsid w:val="005E2A05"/>
    <w:rsid w:val="005E3371"/>
    <w:rsid w:val="005E6759"/>
    <w:rsid w:val="005E6B0F"/>
    <w:rsid w:val="005F0458"/>
    <w:rsid w:val="005F0E3A"/>
    <w:rsid w:val="005F1533"/>
    <w:rsid w:val="005F1BE0"/>
    <w:rsid w:val="005F47B5"/>
    <w:rsid w:val="005F487B"/>
    <w:rsid w:val="005F553F"/>
    <w:rsid w:val="005F561C"/>
    <w:rsid w:val="005F5A24"/>
    <w:rsid w:val="00601FC1"/>
    <w:rsid w:val="0060273F"/>
    <w:rsid w:val="00602DE0"/>
    <w:rsid w:val="00604776"/>
    <w:rsid w:val="00604EA3"/>
    <w:rsid w:val="00606048"/>
    <w:rsid w:val="006060B8"/>
    <w:rsid w:val="00614035"/>
    <w:rsid w:val="00614140"/>
    <w:rsid w:val="0061581E"/>
    <w:rsid w:val="0061607E"/>
    <w:rsid w:val="00621B10"/>
    <w:rsid w:val="006246F3"/>
    <w:rsid w:val="006247A9"/>
    <w:rsid w:val="00624E0B"/>
    <w:rsid w:val="00624E63"/>
    <w:rsid w:val="006262D2"/>
    <w:rsid w:val="00626497"/>
    <w:rsid w:val="00627762"/>
    <w:rsid w:val="006279D0"/>
    <w:rsid w:val="006334F3"/>
    <w:rsid w:val="00633AB8"/>
    <w:rsid w:val="00633E74"/>
    <w:rsid w:val="00635A36"/>
    <w:rsid w:val="00641FDD"/>
    <w:rsid w:val="00644399"/>
    <w:rsid w:val="00645302"/>
    <w:rsid w:val="00645797"/>
    <w:rsid w:val="00646367"/>
    <w:rsid w:val="00646A80"/>
    <w:rsid w:val="0064778C"/>
    <w:rsid w:val="006522D4"/>
    <w:rsid w:val="006523F8"/>
    <w:rsid w:val="00652467"/>
    <w:rsid w:val="00653AF8"/>
    <w:rsid w:val="00654CFA"/>
    <w:rsid w:val="00655906"/>
    <w:rsid w:val="00657709"/>
    <w:rsid w:val="006605C6"/>
    <w:rsid w:val="00662945"/>
    <w:rsid w:val="0066514A"/>
    <w:rsid w:val="0066634E"/>
    <w:rsid w:val="00671760"/>
    <w:rsid w:val="006717CD"/>
    <w:rsid w:val="006723FB"/>
    <w:rsid w:val="00674A5D"/>
    <w:rsid w:val="006767FA"/>
    <w:rsid w:val="006815FF"/>
    <w:rsid w:val="00681D40"/>
    <w:rsid w:val="00682978"/>
    <w:rsid w:val="006860FF"/>
    <w:rsid w:val="0068751B"/>
    <w:rsid w:val="00687714"/>
    <w:rsid w:val="0069157B"/>
    <w:rsid w:val="00691604"/>
    <w:rsid w:val="006931CA"/>
    <w:rsid w:val="006A43B2"/>
    <w:rsid w:val="006A5A53"/>
    <w:rsid w:val="006B3471"/>
    <w:rsid w:val="006B5995"/>
    <w:rsid w:val="006B59C1"/>
    <w:rsid w:val="006C37A7"/>
    <w:rsid w:val="006C42DE"/>
    <w:rsid w:val="006C4371"/>
    <w:rsid w:val="006C46B3"/>
    <w:rsid w:val="006C54E8"/>
    <w:rsid w:val="006C7B30"/>
    <w:rsid w:val="006D00F6"/>
    <w:rsid w:val="006D05D9"/>
    <w:rsid w:val="006D0D6F"/>
    <w:rsid w:val="006D0FAA"/>
    <w:rsid w:val="006D1BE5"/>
    <w:rsid w:val="006D3049"/>
    <w:rsid w:val="006D4937"/>
    <w:rsid w:val="006D5B3F"/>
    <w:rsid w:val="006E0FCB"/>
    <w:rsid w:val="006E39E7"/>
    <w:rsid w:val="006E70BA"/>
    <w:rsid w:val="006E736D"/>
    <w:rsid w:val="006F06B4"/>
    <w:rsid w:val="006F10AF"/>
    <w:rsid w:val="006F1B55"/>
    <w:rsid w:val="006F1FF7"/>
    <w:rsid w:val="006F440D"/>
    <w:rsid w:val="007035B6"/>
    <w:rsid w:val="0070437D"/>
    <w:rsid w:val="00705BC1"/>
    <w:rsid w:val="0070612B"/>
    <w:rsid w:val="00710978"/>
    <w:rsid w:val="00714CB9"/>
    <w:rsid w:val="007164C9"/>
    <w:rsid w:val="00716F9C"/>
    <w:rsid w:val="00720611"/>
    <w:rsid w:val="00723050"/>
    <w:rsid w:val="007233C4"/>
    <w:rsid w:val="007307B7"/>
    <w:rsid w:val="00730CB4"/>
    <w:rsid w:val="0073107C"/>
    <w:rsid w:val="00731204"/>
    <w:rsid w:val="00741293"/>
    <w:rsid w:val="007414B4"/>
    <w:rsid w:val="00742BD0"/>
    <w:rsid w:val="00743132"/>
    <w:rsid w:val="00743A36"/>
    <w:rsid w:val="00745A57"/>
    <w:rsid w:val="007476B6"/>
    <w:rsid w:val="0075041A"/>
    <w:rsid w:val="00750677"/>
    <w:rsid w:val="00751B92"/>
    <w:rsid w:val="007543B0"/>
    <w:rsid w:val="0075491B"/>
    <w:rsid w:val="007549A1"/>
    <w:rsid w:val="007601CB"/>
    <w:rsid w:val="007605EB"/>
    <w:rsid w:val="00762383"/>
    <w:rsid w:val="007654F1"/>
    <w:rsid w:val="00766ED0"/>
    <w:rsid w:val="00770422"/>
    <w:rsid w:val="00770F63"/>
    <w:rsid w:val="0077152B"/>
    <w:rsid w:val="0077214F"/>
    <w:rsid w:val="0077282D"/>
    <w:rsid w:val="00772C15"/>
    <w:rsid w:val="007742AF"/>
    <w:rsid w:val="007761BA"/>
    <w:rsid w:val="00776B8A"/>
    <w:rsid w:val="00777491"/>
    <w:rsid w:val="00777702"/>
    <w:rsid w:val="00782559"/>
    <w:rsid w:val="0078682C"/>
    <w:rsid w:val="00790508"/>
    <w:rsid w:val="00792089"/>
    <w:rsid w:val="00792D06"/>
    <w:rsid w:val="007958F5"/>
    <w:rsid w:val="00797198"/>
    <w:rsid w:val="007A27E4"/>
    <w:rsid w:val="007A76D8"/>
    <w:rsid w:val="007B0E9C"/>
    <w:rsid w:val="007B2499"/>
    <w:rsid w:val="007B7FCB"/>
    <w:rsid w:val="007C03CB"/>
    <w:rsid w:val="007C0728"/>
    <w:rsid w:val="007C2083"/>
    <w:rsid w:val="007C24B5"/>
    <w:rsid w:val="007D0938"/>
    <w:rsid w:val="007D6684"/>
    <w:rsid w:val="007D782D"/>
    <w:rsid w:val="007E37DD"/>
    <w:rsid w:val="007E3B6D"/>
    <w:rsid w:val="007E3FE8"/>
    <w:rsid w:val="007E4907"/>
    <w:rsid w:val="007E4A82"/>
    <w:rsid w:val="007E795F"/>
    <w:rsid w:val="007F346E"/>
    <w:rsid w:val="007F4610"/>
    <w:rsid w:val="007F561C"/>
    <w:rsid w:val="007F5E59"/>
    <w:rsid w:val="007F7F7C"/>
    <w:rsid w:val="008004F8"/>
    <w:rsid w:val="008010DE"/>
    <w:rsid w:val="0080357B"/>
    <w:rsid w:val="008036D1"/>
    <w:rsid w:val="00804D2F"/>
    <w:rsid w:val="00805CF8"/>
    <w:rsid w:val="008115A2"/>
    <w:rsid w:val="00816833"/>
    <w:rsid w:val="008249E2"/>
    <w:rsid w:val="00824FBA"/>
    <w:rsid w:val="0082701C"/>
    <w:rsid w:val="0083054C"/>
    <w:rsid w:val="00832D60"/>
    <w:rsid w:val="00834523"/>
    <w:rsid w:val="00834EC6"/>
    <w:rsid w:val="00835163"/>
    <w:rsid w:val="00835894"/>
    <w:rsid w:val="0084159F"/>
    <w:rsid w:val="008419F1"/>
    <w:rsid w:val="00843C1A"/>
    <w:rsid w:val="00843FA9"/>
    <w:rsid w:val="00844007"/>
    <w:rsid w:val="0084658A"/>
    <w:rsid w:val="00851A1E"/>
    <w:rsid w:val="00853967"/>
    <w:rsid w:val="00853DEF"/>
    <w:rsid w:val="00855037"/>
    <w:rsid w:val="00855791"/>
    <w:rsid w:val="008569E6"/>
    <w:rsid w:val="00856CF7"/>
    <w:rsid w:val="00856E94"/>
    <w:rsid w:val="00860395"/>
    <w:rsid w:val="008604A7"/>
    <w:rsid w:val="00862463"/>
    <w:rsid w:val="008628A4"/>
    <w:rsid w:val="00866364"/>
    <w:rsid w:val="00870A87"/>
    <w:rsid w:val="008723CF"/>
    <w:rsid w:val="00877391"/>
    <w:rsid w:val="00880240"/>
    <w:rsid w:val="00880C65"/>
    <w:rsid w:val="0088364B"/>
    <w:rsid w:val="00883987"/>
    <w:rsid w:val="00885335"/>
    <w:rsid w:val="008865B0"/>
    <w:rsid w:val="00886D26"/>
    <w:rsid w:val="00891CF5"/>
    <w:rsid w:val="00894360"/>
    <w:rsid w:val="008945FA"/>
    <w:rsid w:val="00895CC4"/>
    <w:rsid w:val="0089612E"/>
    <w:rsid w:val="00896F8E"/>
    <w:rsid w:val="008A0723"/>
    <w:rsid w:val="008A3A1A"/>
    <w:rsid w:val="008A6EAC"/>
    <w:rsid w:val="008A7F63"/>
    <w:rsid w:val="008B18EA"/>
    <w:rsid w:val="008B2400"/>
    <w:rsid w:val="008B5A9A"/>
    <w:rsid w:val="008B6E18"/>
    <w:rsid w:val="008B7FAC"/>
    <w:rsid w:val="008C0A06"/>
    <w:rsid w:val="008C316F"/>
    <w:rsid w:val="008C33F9"/>
    <w:rsid w:val="008C38BB"/>
    <w:rsid w:val="008C605F"/>
    <w:rsid w:val="008C61A1"/>
    <w:rsid w:val="008C66AE"/>
    <w:rsid w:val="008D1A97"/>
    <w:rsid w:val="008D5C87"/>
    <w:rsid w:val="008D7F41"/>
    <w:rsid w:val="008E197F"/>
    <w:rsid w:val="008E1A2D"/>
    <w:rsid w:val="008E4E58"/>
    <w:rsid w:val="008E6EAF"/>
    <w:rsid w:val="008E7C72"/>
    <w:rsid w:val="008F2719"/>
    <w:rsid w:val="008F4BB3"/>
    <w:rsid w:val="008F600C"/>
    <w:rsid w:val="008F695D"/>
    <w:rsid w:val="008F72F6"/>
    <w:rsid w:val="0090098E"/>
    <w:rsid w:val="00901475"/>
    <w:rsid w:val="009046F1"/>
    <w:rsid w:val="00911F00"/>
    <w:rsid w:val="00915A23"/>
    <w:rsid w:val="00916283"/>
    <w:rsid w:val="00916460"/>
    <w:rsid w:val="00920511"/>
    <w:rsid w:val="00922678"/>
    <w:rsid w:val="00922FFA"/>
    <w:rsid w:val="009259DE"/>
    <w:rsid w:val="00931C64"/>
    <w:rsid w:val="009346F1"/>
    <w:rsid w:val="00934E2D"/>
    <w:rsid w:val="00936E3C"/>
    <w:rsid w:val="0094258E"/>
    <w:rsid w:val="00943646"/>
    <w:rsid w:val="00946A1D"/>
    <w:rsid w:val="00946C4D"/>
    <w:rsid w:val="00950EFB"/>
    <w:rsid w:val="009520B9"/>
    <w:rsid w:val="00954F4B"/>
    <w:rsid w:val="009568AB"/>
    <w:rsid w:val="0096003E"/>
    <w:rsid w:val="00960E7F"/>
    <w:rsid w:val="009610F1"/>
    <w:rsid w:val="00961D1F"/>
    <w:rsid w:val="00962411"/>
    <w:rsid w:val="00962A9E"/>
    <w:rsid w:val="0096402B"/>
    <w:rsid w:val="00964D78"/>
    <w:rsid w:val="00965249"/>
    <w:rsid w:val="00966A02"/>
    <w:rsid w:val="00971E65"/>
    <w:rsid w:val="00974615"/>
    <w:rsid w:val="00990CE0"/>
    <w:rsid w:val="00990DBC"/>
    <w:rsid w:val="00993575"/>
    <w:rsid w:val="00993753"/>
    <w:rsid w:val="0099490B"/>
    <w:rsid w:val="00995990"/>
    <w:rsid w:val="00995BAA"/>
    <w:rsid w:val="00996E79"/>
    <w:rsid w:val="00997A0D"/>
    <w:rsid w:val="009A13EA"/>
    <w:rsid w:val="009A2169"/>
    <w:rsid w:val="009A2FA3"/>
    <w:rsid w:val="009A35B0"/>
    <w:rsid w:val="009A435F"/>
    <w:rsid w:val="009A5FA5"/>
    <w:rsid w:val="009B021E"/>
    <w:rsid w:val="009B0759"/>
    <w:rsid w:val="009B1628"/>
    <w:rsid w:val="009B2A9E"/>
    <w:rsid w:val="009B40DF"/>
    <w:rsid w:val="009B6190"/>
    <w:rsid w:val="009B6CE7"/>
    <w:rsid w:val="009B6E4B"/>
    <w:rsid w:val="009C31D2"/>
    <w:rsid w:val="009C4E46"/>
    <w:rsid w:val="009C610F"/>
    <w:rsid w:val="009C6E0B"/>
    <w:rsid w:val="009D2B60"/>
    <w:rsid w:val="009D495F"/>
    <w:rsid w:val="009D54AD"/>
    <w:rsid w:val="009D6220"/>
    <w:rsid w:val="009D669F"/>
    <w:rsid w:val="009D7AEE"/>
    <w:rsid w:val="009D7E90"/>
    <w:rsid w:val="009E01F0"/>
    <w:rsid w:val="009E088F"/>
    <w:rsid w:val="009E261C"/>
    <w:rsid w:val="009E37E3"/>
    <w:rsid w:val="009E3A85"/>
    <w:rsid w:val="009E3D0E"/>
    <w:rsid w:val="009E53B5"/>
    <w:rsid w:val="009E5B7A"/>
    <w:rsid w:val="009F5140"/>
    <w:rsid w:val="009F5618"/>
    <w:rsid w:val="00A019B7"/>
    <w:rsid w:val="00A03411"/>
    <w:rsid w:val="00A0343D"/>
    <w:rsid w:val="00A07250"/>
    <w:rsid w:val="00A111C1"/>
    <w:rsid w:val="00A11613"/>
    <w:rsid w:val="00A12621"/>
    <w:rsid w:val="00A13EB1"/>
    <w:rsid w:val="00A1616E"/>
    <w:rsid w:val="00A171BE"/>
    <w:rsid w:val="00A20527"/>
    <w:rsid w:val="00A20E04"/>
    <w:rsid w:val="00A22348"/>
    <w:rsid w:val="00A23576"/>
    <w:rsid w:val="00A26F6E"/>
    <w:rsid w:val="00A2709A"/>
    <w:rsid w:val="00A271C1"/>
    <w:rsid w:val="00A306D1"/>
    <w:rsid w:val="00A32ADB"/>
    <w:rsid w:val="00A36717"/>
    <w:rsid w:val="00A37CE1"/>
    <w:rsid w:val="00A418D5"/>
    <w:rsid w:val="00A424E7"/>
    <w:rsid w:val="00A42B82"/>
    <w:rsid w:val="00A47ED3"/>
    <w:rsid w:val="00A47FA6"/>
    <w:rsid w:val="00A51E8B"/>
    <w:rsid w:val="00A6326E"/>
    <w:rsid w:val="00A64C89"/>
    <w:rsid w:val="00A679BD"/>
    <w:rsid w:val="00A7002D"/>
    <w:rsid w:val="00A71D5A"/>
    <w:rsid w:val="00A75049"/>
    <w:rsid w:val="00A75AE8"/>
    <w:rsid w:val="00A77C22"/>
    <w:rsid w:val="00A81A59"/>
    <w:rsid w:val="00A82795"/>
    <w:rsid w:val="00A829A9"/>
    <w:rsid w:val="00A8321D"/>
    <w:rsid w:val="00A83958"/>
    <w:rsid w:val="00A93292"/>
    <w:rsid w:val="00A93672"/>
    <w:rsid w:val="00A93CE0"/>
    <w:rsid w:val="00A94145"/>
    <w:rsid w:val="00A951D7"/>
    <w:rsid w:val="00A976E1"/>
    <w:rsid w:val="00AA0F85"/>
    <w:rsid w:val="00AA1A3B"/>
    <w:rsid w:val="00AA1D4D"/>
    <w:rsid w:val="00AA3D4E"/>
    <w:rsid w:val="00AA4559"/>
    <w:rsid w:val="00AA4DFF"/>
    <w:rsid w:val="00AA5A72"/>
    <w:rsid w:val="00AA746D"/>
    <w:rsid w:val="00AB1286"/>
    <w:rsid w:val="00AB2810"/>
    <w:rsid w:val="00AB4232"/>
    <w:rsid w:val="00AB445F"/>
    <w:rsid w:val="00AB5A84"/>
    <w:rsid w:val="00AB6FDE"/>
    <w:rsid w:val="00AC13D6"/>
    <w:rsid w:val="00AC1BAC"/>
    <w:rsid w:val="00AC252D"/>
    <w:rsid w:val="00AC3213"/>
    <w:rsid w:val="00AC34C5"/>
    <w:rsid w:val="00AD2C75"/>
    <w:rsid w:val="00AD59BF"/>
    <w:rsid w:val="00AD71C3"/>
    <w:rsid w:val="00AE1614"/>
    <w:rsid w:val="00AE2600"/>
    <w:rsid w:val="00AE48A4"/>
    <w:rsid w:val="00AE5F48"/>
    <w:rsid w:val="00AF0A63"/>
    <w:rsid w:val="00AF1443"/>
    <w:rsid w:val="00AF42D3"/>
    <w:rsid w:val="00AF4697"/>
    <w:rsid w:val="00AF4E7E"/>
    <w:rsid w:val="00AF63D3"/>
    <w:rsid w:val="00AF6AB5"/>
    <w:rsid w:val="00AF733F"/>
    <w:rsid w:val="00B00824"/>
    <w:rsid w:val="00B04795"/>
    <w:rsid w:val="00B0655A"/>
    <w:rsid w:val="00B07EE5"/>
    <w:rsid w:val="00B10483"/>
    <w:rsid w:val="00B1173B"/>
    <w:rsid w:val="00B11E11"/>
    <w:rsid w:val="00B1364F"/>
    <w:rsid w:val="00B13C50"/>
    <w:rsid w:val="00B14E26"/>
    <w:rsid w:val="00B15623"/>
    <w:rsid w:val="00B22DAB"/>
    <w:rsid w:val="00B24D46"/>
    <w:rsid w:val="00B25C53"/>
    <w:rsid w:val="00B25C9E"/>
    <w:rsid w:val="00B27214"/>
    <w:rsid w:val="00B312CD"/>
    <w:rsid w:val="00B31C15"/>
    <w:rsid w:val="00B32929"/>
    <w:rsid w:val="00B35B73"/>
    <w:rsid w:val="00B3760F"/>
    <w:rsid w:val="00B37F63"/>
    <w:rsid w:val="00B41056"/>
    <w:rsid w:val="00B41780"/>
    <w:rsid w:val="00B42374"/>
    <w:rsid w:val="00B43EC6"/>
    <w:rsid w:val="00B44EB7"/>
    <w:rsid w:val="00B45971"/>
    <w:rsid w:val="00B4598A"/>
    <w:rsid w:val="00B46725"/>
    <w:rsid w:val="00B46CB3"/>
    <w:rsid w:val="00B46D03"/>
    <w:rsid w:val="00B46DC6"/>
    <w:rsid w:val="00B51493"/>
    <w:rsid w:val="00B5320B"/>
    <w:rsid w:val="00B53B8D"/>
    <w:rsid w:val="00B55029"/>
    <w:rsid w:val="00B60D5F"/>
    <w:rsid w:val="00B65FBA"/>
    <w:rsid w:val="00B71404"/>
    <w:rsid w:val="00B719F3"/>
    <w:rsid w:val="00B7465A"/>
    <w:rsid w:val="00B76B49"/>
    <w:rsid w:val="00B77E04"/>
    <w:rsid w:val="00B82836"/>
    <w:rsid w:val="00B829B6"/>
    <w:rsid w:val="00B84235"/>
    <w:rsid w:val="00B8515D"/>
    <w:rsid w:val="00B93813"/>
    <w:rsid w:val="00B93944"/>
    <w:rsid w:val="00B9573F"/>
    <w:rsid w:val="00B96672"/>
    <w:rsid w:val="00B97570"/>
    <w:rsid w:val="00BA0E5E"/>
    <w:rsid w:val="00BA66C4"/>
    <w:rsid w:val="00BA793E"/>
    <w:rsid w:val="00BB2322"/>
    <w:rsid w:val="00BB2632"/>
    <w:rsid w:val="00BB41CC"/>
    <w:rsid w:val="00BB4F16"/>
    <w:rsid w:val="00BB57CA"/>
    <w:rsid w:val="00BB6BE5"/>
    <w:rsid w:val="00BB6E3C"/>
    <w:rsid w:val="00BB6F48"/>
    <w:rsid w:val="00BB71BC"/>
    <w:rsid w:val="00BC15FD"/>
    <w:rsid w:val="00BC5061"/>
    <w:rsid w:val="00BC5202"/>
    <w:rsid w:val="00BC75A6"/>
    <w:rsid w:val="00BC7DC3"/>
    <w:rsid w:val="00BD3E76"/>
    <w:rsid w:val="00BD525B"/>
    <w:rsid w:val="00BD7B20"/>
    <w:rsid w:val="00BE09B0"/>
    <w:rsid w:val="00BE0DFF"/>
    <w:rsid w:val="00BE4F19"/>
    <w:rsid w:val="00BE7C00"/>
    <w:rsid w:val="00BF0EFE"/>
    <w:rsid w:val="00BF4608"/>
    <w:rsid w:val="00BF4E0A"/>
    <w:rsid w:val="00BF5BD3"/>
    <w:rsid w:val="00BF65B2"/>
    <w:rsid w:val="00BF67D4"/>
    <w:rsid w:val="00C03654"/>
    <w:rsid w:val="00C03DE9"/>
    <w:rsid w:val="00C06452"/>
    <w:rsid w:val="00C07BFF"/>
    <w:rsid w:val="00C112FB"/>
    <w:rsid w:val="00C11CF1"/>
    <w:rsid w:val="00C1555E"/>
    <w:rsid w:val="00C15EFC"/>
    <w:rsid w:val="00C17A6E"/>
    <w:rsid w:val="00C22CEA"/>
    <w:rsid w:val="00C244DA"/>
    <w:rsid w:val="00C24DE1"/>
    <w:rsid w:val="00C27B67"/>
    <w:rsid w:val="00C32666"/>
    <w:rsid w:val="00C32F24"/>
    <w:rsid w:val="00C36103"/>
    <w:rsid w:val="00C36796"/>
    <w:rsid w:val="00C368B5"/>
    <w:rsid w:val="00C36BED"/>
    <w:rsid w:val="00C36D27"/>
    <w:rsid w:val="00C37293"/>
    <w:rsid w:val="00C37D9B"/>
    <w:rsid w:val="00C400F1"/>
    <w:rsid w:val="00C4569E"/>
    <w:rsid w:val="00C45930"/>
    <w:rsid w:val="00C45A92"/>
    <w:rsid w:val="00C47737"/>
    <w:rsid w:val="00C52F65"/>
    <w:rsid w:val="00C54715"/>
    <w:rsid w:val="00C570DD"/>
    <w:rsid w:val="00C604B4"/>
    <w:rsid w:val="00C6073C"/>
    <w:rsid w:val="00C60BAD"/>
    <w:rsid w:val="00C62603"/>
    <w:rsid w:val="00C62755"/>
    <w:rsid w:val="00C64477"/>
    <w:rsid w:val="00C67E7E"/>
    <w:rsid w:val="00C70965"/>
    <w:rsid w:val="00C70D6D"/>
    <w:rsid w:val="00C71AA5"/>
    <w:rsid w:val="00C729FE"/>
    <w:rsid w:val="00C76F60"/>
    <w:rsid w:val="00C80D38"/>
    <w:rsid w:val="00C8191C"/>
    <w:rsid w:val="00C82150"/>
    <w:rsid w:val="00C8569E"/>
    <w:rsid w:val="00C86108"/>
    <w:rsid w:val="00C876B2"/>
    <w:rsid w:val="00C909FA"/>
    <w:rsid w:val="00C923DD"/>
    <w:rsid w:val="00C96C61"/>
    <w:rsid w:val="00C96CF9"/>
    <w:rsid w:val="00C9725C"/>
    <w:rsid w:val="00CA055F"/>
    <w:rsid w:val="00CA73A1"/>
    <w:rsid w:val="00CB1D77"/>
    <w:rsid w:val="00CB2EE8"/>
    <w:rsid w:val="00CB46CE"/>
    <w:rsid w:val="00CB4848"/>
    <w:rsid w:val="00CB4854"/>
    <w:rsid w:val="00CB7582"/>
    <w:rsid w:val="00CC32A6"/>
    <w:rsid w:val="00CC3F9B"/>
    <w:rsid w:val="00CC4E42"/>
    <w:rsid w:val="00CC66BD"/>
    <w:rsid w:val="00CC67B9"/>
    <w:rsid w:val="00CC6F07"/>
    <w:rsid w:val="00CC74FD"/>
    <w:rsid w:val="00CD049C"/>
    <w:rsid w:val="00CD2120"/>
    <w:rsid w:val="00CD3A5A"/>
    <w:rsid w:val="00CD40F4"/>
    <w:rsid w:val="00CD53A5"/>
    <w:rsid w:val="00CE0559"/>
    <w:rsid w:val="00CE10F7"/>
    <w:rsid w:val="00CE19D0"/>
    <w:rsid w:val="00CE1DB8"/>
    <w:rsid w:val="00CE1FFA"/>
    <w:rsid w:val="00CE44D3"/>
    <w:rsid w:val="00CE4B70"/>
    <w:rsid w:val="00CE4FC0"/>
    <w:rsid w:val="00CE604A"/>
    <w:rsid w:val="00CE75D0"/>
    <w:rsid w:val="00CF172C"/>
    <w:rsid w:val="00CF1CA4"/>
    <w:rsid w:val="00D00C59"/>
    <w:rsid w:val="00D012DF"/>
    <w:rsid w:val="00D0188C"/>
    <w:rsid w:val="00D02408"/>
    <w:rsid w:val="00D02725"/>
    <w:rsid w:val="00D062E1"/>
    <w:rsid w:val="00D10A8A"/>
    <w:rsid w:val="00D12915"/>
    <w:rsid w:val="00D1318A"/>
    <w:rsid w:val="00D13E41"/>
    <w:rsid w:val="00D15CCF"/>
    <w:rsid w:val="00D16A13"/>
    <w:rsid w:val="00D171D2"/>
    <w:rsid w:val="00D21B6F"/>
    <w:rsid w:val="00D2595B"/>
    <w:rsid w:val="00D26704"/>
    <w:rsid w:val="00D317C6"/>
    <w:rsid w:val="00D31EA3"/>
    <w:rsid w:val="00D32B61"/>
    <w:rsid w:val="00D335E6"/>
    <w:rsid w:val="00D33A6B"/>
    <w:rsid w:val="00D36721"/>
    <w:rsid w:val="00D40DD1"/>
    <w:rsid w:val="00D41835"/>
    <w:rsid w:val="00D44264"/>
    <w:rsid w:val="00D44828"/>
    <w:rsid w:val="00D47482"/>
    <w:rsid w:val="00D50567"/>
    <w:rsid w:val="00D51B45"/>
    <w:rsid w:val="00D52EA1"/>
    <w:rsid w:val="00D55EA1"/>
    <w:rsid w:val="00D60705"/>
    <w:rsid w:val="00D61790"/>
    <w:rsid w:val="00D62B95"/>
    <w:rsid w:val="00D62FEB"/>
    <w:rsid w:val="00D64209"/>
    <w:rsid w:val="00D65FFC"/>
    <w:rsid w:val="00D662EB"/>
    <w:rsid w:val="00D66BD9"/>
    <w:rsid w:val="00D7003C"/>
    <w:rsid w:val="00D70834"/>
    <w:rsid w:val="00D7176F"/>
    <w:rsid w:val="00D72145"/>
    <w:rsid w:val="00D73283"/>
    <w:rsid w:val="00D7683D"/>
    <w:rsid w:val="00D80531"/>
    <w:rsid w:val="00D83015"/>
    <w:rsid w:val="00D8569C"/>
    <w:rsid w:val="00D870F1"/>
    <w:rsid w:val="00D922D4"/>
    <w:rsid w:val="00D94731"/>
    <w:rsid w:val="00D94B0F"/>
    <w:rsid w:val="00D94DB7"/>
    <w:rsid w:val="00D97499"/>
    <w:rsid w:val="00DA1FDA"/>
    <w:rsid w:val="00DA27CC"/>
    <w:rsid w:val="00DA5146"/>
    <w:rsid w:val="00DA5363"/>
    <w:rsid w:val="00DA73DE"/>
    <w:rsid w:val="00DB4299"/>
    <w:rsid w:val="00DB46B5"/>
    <w:rsid w:val="00DB584B"/>
    <w:rsid w:val="00DB5B28"/>
    <w:rsid w:val="00DB708A"/>
    <w:rsid w:val="00DC064B"/>
    <w:rsid w:val="00DC0824"/>
    <w:rsid w:val="00DC089C"/>
    <w:rsid w:val="00DC4FD4"/>
    <w:rsid w:val="00DD133F"/>
    <w:rsid w:val="00DD205D"/>
    <w:rsid w:val="00DD31A6"/>
    <w:rsid w:val="00DD39CF"/>
    <w:rsid w:val="00DE7E00"/>
    <w:rsid w:val="00DF391B"/>
    <w:rsid w:val="00DF39BE"/>
    <w:rsid w:val="00DF50DD"/>
    <w:rsid w:val="00DF6177"/>
    <w:rsid w:val="00DF6997"/>
    <w:rsid w:val="00E017B6"/>
    <w:rsid w:val="00E03434"/>
    <w:rsid w:val="00E12A0C"/>
    <w:rsid w:val="00E12F18"/>
    <w:rsid w:val="00E14D3A"/>
    <w:rsid w:val="00E158EC"/>
    <w:rsid w:val="00E21250"/>
    <w:rsid w:val="00E23249"/>
    <w:rsid w:val="00E24A5C"/>
    <w:rsid w:val="00E3178A"/>
    <w:rsid w:val="00E40A2F"/>
    <w:rsid w:val="00E4207E"/>
    <w:rsid w:val="00E51F12"/>
    <w:rsid w:val="00E534FB"/>
    <w:rsid w:val="00E55E4C"/>
    <w:rsid w:val="00E56F4A"/>
    <w:rsid w:val="00E57262"/>
    <w:rsid w:val="00E60203"/>
    <w:rsid w:val="00E62C15"/>
    <w:rsid w:val="00E6401C"/>
    <w:rsid w:val="00E657A0"/>
    <w:rsid w:val="00E702FF"/>
    <w:rsid w:val="00E7090B"/>
    <w:rsid w:val="00E75C76"/>
    <w:rsid w:val="00E76911"/>
    <w:rsid w:val="00E7736B"/>
    <w:rsid w:val="00E82075"/>
    <w:rsid w:val="00E827B4"/>
    <w:rsid w:val="00E83085"/>
    <w:rsid w:val="00E845A6"/>
    <w:rsid w:val="00E84EC8"/>
    <w:rsid w:val="00E87D0A"/>
    <w:rsid w:val="00E907AA"/>
    <w:rsid w:val="00E9357A"/>
    <w:rsid w:val="00E93586"/>
    <w:rsid w:val="00EA03F6"/>
    <w:rsid w:val="00EA2A0B"/>
    <w:rsid w:val="00EA2C6D"/>
    <w:rsid w:val="00EA67F3"/>
    <w:rsid w:val="00EA6B48"/>
    <w:rsid w:val="00EA6EEC"/>
    <w:rsid w:val="00EA7C7B"/>
    <w:rsid w:val="00EB15B5"/>
    <w:rsid w:val="00EB22F4"/>
    <w:rsid w:val="00EB248B"/>
    <w:rsid w:val="00EB41E6"/>
    <w:rsid w:val="00EB6194"/>
    <w:rsid w:val="00EC6148"/>
    <w:rsid w:val="00EC7FD4"/>
    <w:rsid w:val="00ED2661"/>
    <w:rsid w:val="00ED39D9"/>
    <w:rsid w:val="00ED4455"/>
    <w:rsid w:val="00ED7CA3"/>
    <w:rsid w:val="00EE352C"/>
    <w:rsid w:val="00EE357E"/>
    <w:rsid w:val="00EE4156"/>
    <w:rsid w:val="00EE5012"/>
    <w:rsid w:val="00EE5EE1"/>
    <w:rsid w:val="00EF0539"/>
    <w:rsid w:val="00EF07FA"/>
    <w:rsid w:val="00F0254B"/>
    <w:rsid w:val="00F02C2A"/>
    <w:rsid w:val="00F0362B"/>
    <w:rsid w:val="00F06790"/>
    <w:rsid w:val="00F0783F"/>
    <w:rsid w:val="00F1052A"/>
    <w:rsid w:val="00F13A90"/>
    <w:rsid w:val="00F1600B"/>
    <w:rsid w:val="00F20647"/>
    <w:rsid w:val="00F22484"/>
    <w:rsid w:val="00F231DE"/>
    <w:rsid w:val="00F27208"/>
    <w:rsid w:val="00F27337"/>
    <w:rsid w:val="00F30868"/>
    <w:rsid w:val="00F3155A"/>
    <w:rsid w:val="00F34C62"/>
    <w:rsid w:val="00F359F4"/>
    <w:rsid w:val="00F44356"/>
    <w:rsid w:val="00F47C0D"/>
    <w:rsid w:val="00F47E78"/>
    <w:rsid w:val="00F50692"/>
    <w:rsid w:val="00F55394"/>
    <w:rsid w:val="00F5693B"/>
    <w:rsid w:val="00F56DCD"/>
    <w:rsid w:val="00F571BD"/>
    <w:rsid w:val="00F615E8"/>
    <w:rsid w:val="00F70A7E"/>
    <w:rsid w:val="00F7624B"/>
    <w:rsid w:val="00F76707"/>
    <w:rsid w:val="00F8023F"/>
    <w:rsid w:val="00F8234C"/>
    <w:rsid w:val="00F83E7F"/>
    <w:rsid w:val="00F86588"/>
    <w:rsid w:val="00F877B0"/>
    <w:rsid w:val="00F90B15"/>
    <w:rsid w:val="00F93CA1"/>
    <w:rsid w:val="00F9743E"/>
    <w:rsid w:val="00FA27B8"/>
    <w:rsid w:val="00FA2ED1"/>
    <w:rsid w:val="00FA581E"/>
    <w:rsid w:val="00FA71B9"/>
    <w:rsid w:val="00FB3830"/>
    <w:rsid w:val="00FB3C59"/>
    <w:rsid w:val="00FB5366"/>
    <w:rsid w:val="00FB6D7C"/>
    <w:rsid w:val="00FC01D0"/>
    <w:rsid w:val="00FC10BB"/>
    <w:rsid w:val="00FC1202"/>
    <w:rsid w:val="00FC1588"/>
    <w:rsid w:val="00FC42AD"/>
    <w:rsid w:val="00FC4300"/>
    <w:rsid w:val="00FC5F14"/>
    <w:rsid w:val="00FC6468"/>
    <w:rsid w:val="00FD1E56"/>
    <w:rsid w:val="00FD3228"/>
    <w:rsid w:val="00FE0306"/>
    <w:rsid w:val="00FE0438"/>
    <w:rsid w:val="00FE29A4"/>
    <w:rsid w:val="00FE3A62"/>
    <w:rsid w:val="00FE4970"/>
    <w:rsid w:val="00FF27B9"/>
    <w:rsid w:val="00FF4014"/>
    <w:rsid w:val="00FF5CB2"/>
    <w:rsid w:val="00FF76E6"/>
    <w:rsid w:val="03BB7FB9"/>
    <w:rsid w:val="061A49AE"/>
    <w:rsid w:val="0A8C3744"/>
    <w:rsid w:val="0AE43B2D"/>
    <w:rsid w:val="0CED51D3"/>
    <w:rsid w:val="19422AFC"/>
    <w:rsid w:val="20BA685C"/>
    <w:rsid w:val="33647A0E"/>
    <w:rsid w:val="4A2B5975"/>
    <w:rsid w:val="53FC0CC9"/>
    <w:rsid w:val="57265697"/>
    <w:rsid w:val="58364FB1"/>
    <w:rsid w:val="60D420DB"/>
    <w:rsid w:val="6E1875EC"/>
    <w:rsid w:val="7054225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keepNext/>
      <w:keepLines/>
      <w:numPr>
        <w:ilvl w:val="0"/>
        <w:numId w:val="1"/>
      </w:numPr>
      <w:spacing w:before="340" w:after="330" w:line="578" w:lineRule="auto"/>
      <w:outlineLvl w:val="0"/>
    </w:pPr>
    <w:rPr>
      <w:b/>
      <w:bCs/>
      <w:kern w:val="44"/>
      <w:sz w:val="44"/>
      <w:szCs w:val="44"/>
    </w:rPr>
  </w:style>
  <w:style w:type="character" w:default="1" w:styleId="9">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20"/>
    <w:unhideWhenUsed/>
    <w:qFormat/>
    <w:uiPriority w:val="99"/>
    <w:rPr>
      <w:b/>
      <w:bCs/>
    </w:rPr>
  </w:style>
  <w:style w:type="paragraph" w:styleId="4">
    <w:name w:val="annotation text"/>
    <w:basedOn w:val="1"/>
    <w:link w:val="19"/>
    <w:unhideWhenUsed/>
    <w:qFormat/>
    <w:uiPriority w:val="99"/>
    <w:pPr>
      <w:jc w:val="left"/>
    </w:pPr>
  </w:style>
  <w:style w:type="paragraph" w:styleId="5">
    <w:name w:val="Document Map"/>
    <w:basedOn w:val="1"/>
    <w:link w:val="16"/>
    <w:unhideWhenUsed/>
    <w:qFormat/>
    <w:uiPriority w:val="99"/>
    <w:rPr>
      <w:rFonts w:ascii="宋体" w:eastAsia="宋体"/>
      <w:sz w:val="18"/>
      <w:szCs w:val="18"/>
    </w:rPr>
  </w:style>
  <w:style w:type="paragraph" w:styleId="6">
    <w:name w:val="Balloon Text"/>
    <w:basedOn w:val="1"/>
    <w:link w:val="18"/>
    <w:unhideWhenUsed/>
    <w:uiPriority w:val="99"/>
    <w:rPr>
      <w:sz w:val="18"/>
      <w:szCs w:val="18"/>
    </w:rPr>
  </w:style>
  <w:style w:type="paragraph" w:styleId="7">
    <w:name w:val="footer"/>
    <w:basedOn w:val="1"/>
    <w:link w:val="14"/>
    <w:unhideWhenUsed/>
    <w:qFormat/>
    <w:uiPriority w:val="99"/>
    <w:pPr>
      <w:tabs>
        <w:tab w:val="center" w:pos="4153"/>
        <w:tab w:val="right" w:pos="8306"/>
      </w:tabs>
      <w:snapToGrid w:val="0"/>
      <w:jc w:val="left"/>
    </w:pPr>
    <w:rPr>
      <w:sz w:val="18"/>
      <w:szCs w:val="18"/>
    </w:rPr>
  </w:style>
  <w:style w:type="paragraph" w:styleId="8">
    <w:name w:val="header"/>
    <w:basedOn w:val="1"/>
    <w:link w:val="13"/>
    <w:unhideWhenUsed/>
    <w:uiPriority w:val="0"/>
    <w:pPr>
      <w:pBdr>
        <w:bottom w:val="single" w:color="auto" w:sz="6" w:space="1"/>
      </w:pBdr>
      <w:tabs>
        <w:tab w:val="center" w:pos="4153"/>
        <w:tab w:val="right" w:pos="8306"/>
      </w:tabs>
      <w:snapToGrid w:val="0"/>
      <w:jc w:val="center"/>
    </w:pPr>
    <w:rPr>
      <w:sz w:val="18"/>
      <w:szCs w:val="18"/>
    </w:rPr>
  </w:style>
  <w:style w:type="character" w:styleId="10">
    <w:name w:val="annotation reference"/>
    <w:basedOn w:val="9"/>
    <w:unhideWhenUsed/>
    <w:qFormat/>
    <w:uiPriority w:val="99"/>
    <w:rPr>
      <w:sz w:val="21"/>
      <w:szCs w:val="21"/>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9"/>
    <w:link w:val="8"/>
    <w:semiHidden/>
    <w:qFormat/>
    <w:uiPriority w:val="99"/>
    <w:rPr>
      <w:sz w:val="18"/>
      <w:szCs w:val="18"/>
    </w:rPr>
  </w:style>
  <w:style w:type="character" w:customStyle="1" w:styleId="14">
    <w:name w:val="页脚 Char"/>
    <w:basedOn w:val="9"/>
    <w:link w:val="7"/>
    <w:qFormat/>
    <w:uiPriority w:val="99"/>
    <w:rPr>
      <w:sz w:val="18"/>
      <w:szCs w:val="18"/>
    </w:rPr>
  </w:style>
  <w:style w:type="character" w:customStyle="1" w:styleId="15">
    <w:name w:val="标题 1 Char"/>
    <w:basedOn w:val="9"/>
    <w:link w:val="2"/>
    <w:qFormat/>
    <w:uiPriority w:val="0"/>
    <w:rPr>
      <w:b/>
      <w:bCs/>
      <w:kern w:val="44"/>
      <w:sz w:val="44"/>
      <w:szCs w:val="44"/>
    </w:rPr>
  </w:style>
  <w:style w:type="character" w:customStyle="1" w:styleId="16">
    <w:name w:val="文档结构图 Char"/>
    <w:basedOn w:val="9"/>
    <w:link w:val="5"/>
    <w:semiHidden/>
    <w:qFormat/>
    <w:uiPriority w:val="99"/>
    <w:rPr>
      <w:rFonts w:ascii="宋体" w:eastAsia="宋体"/>
      <w:sz w:val="18"/>
      <w:szCs w:val="18"/>
    </w:rPr>
  </w:style>
  <w:style w:type="paragraph" w:customStyle="1" w:styleId="17">
    <w:name w:val="List Paragraph"/>
    <w:basedOn w:val="1"/>
    <w:qFormat/>
    <w:uiPriority w:val="34"/>
    <w:pPr>
      <w:ind w:firstLine="420" w:firstLineChars="200"/>
    </w:pPr>
  </w:style>
  <w:style w:type="character" w:customStyle="1" w:styleId="18">
    <w:name w:val="批注框文本 Char"/>
    <w:basedOn w:val="9"/>
    <w:link w:val="6"/>
    <w:semiHidden/>
    <w:qFormat/>
    <w:uiPriority w:val="99"/>
    <w:rPr>
      <w:sz w:val="18"/>
      <w:szCs w:val="18"/>
    </w:rPr>
  </w:style>
  <w:style w:type="character" w:customStyle="1" w:styleId="19">
    <w:name w:val="批注文字 Char"/>
    <w:basedOn w:val="9"/>
    <w:link w:val="4"/>
    <w:semiHidden/>
    <w:qFormat/>
    <w:uiPriority w:val="99"/>
  </w:style>
  <w:style w:type="character" w:customStyle="1" w:styleId="20">
    <w:name w:val="批注主题 Char"/>
    <w:basedOn w:val="19"/>
    <w:link w:val="3"/>
    <w:semiHidden/>
    <w:qFormat/>
    <w:uiPriority w:val="99"/>
    <w:rPr>
      <w:b/>
      <w:bCs/>
    </w:rPr>
  </w:style>
  <w:style w:type="paragraph" w:customStyle="1" w:styleId="21">
    <w:name w:val="正文（首行缩进2字符）"/>
    <w:basedOn w:val="1"/>
    <w:link w:val="22"/>
    <w:qFormat/>
    <w:uiPriority w:val="0"/>
    <w:pPr>
      <w:spacing w:line="300" w:lineRule="auto"/>
      <w:ind w:firstLine="440" w:firstLineChars="200"/>
    </w:pPr>
    <w:rPr>
      <w:rFonts w:ascii="Times New Roman" w:hAnsi="Times New Roman" w:eastAsia="宋体" w:cs="Times New Roman"/>
      <w:sz w:val="24"/>
    </w:rPr>
  </w:style>
  <w:style w:type="character" w:customStyle="1" w:styleId="22">
    <w:name w:val="正文（首行缩进2字符） Char"/>
    <w:link w:val="21"/>
    <w:qFormat/>
    <w:uiPriority w:val="0"/>
    <w:rPr>
      <w:rFonts w:ascii="Times New Roman" w:hAnsi="Times New Roman" w:eastAsia="宋体" w:cs="Times New Roman"/>
      <w:sz w:val="24"/>
    </w:rPr>
  </w:style>
  <w:style w:type="paragraph" w:customStyle="1" w:styleId="23">
    <w:name w:val="TAL"/>
    <w:basedOn w:val="1"/>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24">
    <w:name w:val="NF"/>
    <w:basedOn w:val="1"/>
    <w:qFormat/>
    <w:uiPriority w:val="0"/>
    <w:pPr>
      <w:keepNext/>
      <w:keepLines/>
      <w:widowControl/>
      <w:overflowPunct w:val="0"/>
      <w:autoSpaceDE w:val="0"/>
      <w:autoSpaceDN w:val="0"/>
      <w:adjustRightInd w:val="0"/>
      <w:ind w:left="1135" w:hanging="851"/>
      <w:jc w:val="left"/>
      <w:textAlignment w:val="baseline"/>
    </w:pPr>
    <w:rPr>
      <w:rFonts w:ascii="Arial" w:hAnsi="Arial" w:eastAsia="Times New Roman" w:cs="Times New Roman"/>
      <w:kern w:val="0"/>
      <w:sz w:val="18"/>
      <w:szCs w:val="20"/>
      <w:lang w:val="en-GB" w:eastAsia="en-US"/>
    </w:rPr>
  </w:style>
  <w:style w:type="character" w:customStyle="1" w:styleId="25">
    <w:name w:val="font31"/>
    <w:basedOn w:val="9"/>
    <w:uiPriority w:val="0"/>
    <w:rPr>
      <w:rFonts w:hint="eastAsia" w:ascii="Arial Unicode MS" w:hAnsi="Arial Unicode MS" w:eastAsia="Arial Unicode MS" w:cs="Arial Unicode MS"/>
      <w:color w:val="000000"/>
      <w:sz w:val="20"/>
      <w:szCs w:val="20"/>
      <w:u w:val="none"/>
    </w:rPr>
  </w:style>
  <w:style w:type="character" w:customStyle="1" w:styleId="26">
    <w:name w:val="font21"/>
    <w:basedOn w:val="9"/>
    <w:uiPriority w:val="0"/>
    <w:rPr>
      <w:rFonts w:hint="eastAsia" w:ascii="Arial Unicode MS" w:hAnsi="Arial Unicode MS" w:eastAsia="Arial Unicode MS" w:cs="Arial Unicode MS"/>
      <w:color w:val="0000FF"/>
      <w:sz w:val="20"/>
      <w:szCs w:val="20"/>
      <w:u w:val="none"/>
    </w:rPr>
  </w:style>
  <w:style w:type="character" w:customStyle="1" w:styleId="27">
    <w:name w:val="font11"/>
    <w:basedOn w:val="9"/>
    <w:uiPriority w:val="0"/>
    <w:rPr>
      <w:rFonts w:hint="eastAsia" w:ascii="Arial Unicode MS" w:hAnsi="Arial Unicode MS" w:eastAsia="Arial Unicode MS" w:cs="Arial Unicode MS"/>
      <w:color w:val="0000FF"/>
      <w:sz w:val="20"/>
      <w:szCs w:val="20"/>
      <w:u w:val="single"/>
    </w:rPr>
  </w:style>
  <w:style w:type="character" w:customStyle="1" w:styleId="28">
    <w:name w:val="font01"/>
    <w:basedOn w:val="9"/>
    <w:uiPriority w:val="0"/>
    <w:rPr>
      <w:rFonts w:hint="eastAsia" w:ascii="Arial Unicode MS" w:hAnsi="Arial Unicode MS" w:eastAsia="Arial Unicode MS" w:cs="Arial Unicode MS"/>
      <w:color w:val="FF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ECE889-F8D6-4DA5-8F16-FF78898DBE9A}">
  <ds:schemaRefs/>
</ds:datastoreItem>
</file>

<file path=docProps/app.xml><?xml version="1.0" encoding="utf-8"?>
<Properties xmlns="http://schemas.openxmlformats.org/officeDocument/2006/extended-properties" xmlns:vt="http://schemas.openxmlformats.org/officeDocument/2006/docPropsVTypes">
  <Template>Normal.dotm</Template>
  <Company>Co</Company>
  <Pages>15</Pages>
  <Words>882</Words>
  <Characters>5028</Characters>
  <Lines>41</Lines>
  <Paragraphs>11</Paragraphs>
  <ScaleCrop>false</ScaleCrop>
  <LinksUpToDate>false</LinksUpToDate>
  <CharactersWithSpaces>5899</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2016-08-11T08:52:00Z</dcterms:created>
  <dc:creator>匿名用户</dc:creator>
  <cp:lastModifiedBy>xw</cp:lastModifiedBy>
  <dcterms:modified xsi:type="dcterms:W3CDTF">2016-09-30T15:08:42Z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